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1E7A" w14:textId="69D5F535" w:rsidR="00413F4E" w:rsidRDefault="00413F4E" w:rsidP="00396FBD">
      <w:pPr>
        <w:bidi w:val="0"/>
        <w:spacing w:after="0"/>
        <w:ind w:right="51"/>
        <w:rPr>
          <w:rFonts w:asciiTheme="majorBidi" w:hAnsiTheme="majorBidi" w:cstheme="majorBidi"/>
          <w:b/>
          <w:bCs/>
          <w:sz w:val="24"/>
          <w:szCs w:val="24"/>
        </w:rPr>
      </w:pPr>
      <w:r w:rsidRPr="00005E64">
        <w:rPr>
          <w:rFonts w:asciiTheme="majorBidi" w:hAnsiTheme="majorBidi" w:cstheme="majorBidi"/>
          <w:noProof/>
          <w:sz w:val="24"/>
          <w:szCs w:val="24"/>
        </w:rPr>
        <mc:AlternateContent>
          <mc:Choice Requires="wpg">
            <w:drawing>
              <wp:inline distT="0" distB="0" distL="0" distR="0" wp14:anchorId="502CED83" wp14:editId="66A08CB6">
                <wp:extent cx="6057900" cy="295275"/>
                <wp:effectExtent l="0" t="0" r="19050" b="9525"/>
                <wp:docPr id="7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95275"/>
                          <a:chOff x="0" y="13"/>
                          <a:chExt cx="3324" cy="410"/>
                        </a:xfrm>
                      </wpg:grpSpPr>
                      <wps:wsp>
                        <wps:cNvPr id="76" name="Rectangle 75"/>
                        <wps:cNvSpPr>
                          <a:spLocks noChangeArrowheads="1"/>
                        </wps:cNvSpPr>
                        <wps:spPr bwMode="auto">
                          <a:xfrm>
                            <a:off x="0" y="31"/>
                            <a:ext cx="108" cy="392"/>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4"/>
                        <wps:cNvSpPr>
                          <a:spLocks noChangeArrowheads="1"/>
                        </wps:cNvSpPr>
                        <wps:spPr bwMode="auto">
                          <a:xfrm>
                            <a:off x="108" y="31"/>
                            <a:ext cx="739" cy="392"/>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3"/>
                        <wps:cNvCnPr/>
                        <wps:spPr bwMode="auto">
                          <a:xfrm>
                            <a:off x="0" y="14"/>
                            <a:ext cx="332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9" name="Line 72"/>
                        <wps:cNvCnPr/>
                        <wps:spPr bwMode="auto">
                          <a:xfrm>
                            <a:off x="0" y="30"/>
                            <a:ext cx="3324" cy="0"/>
                          </a:xfrm>
                          <a:prstGeom prst="line">
                            <a:avLst/>
                          </a:prstGeom>
                          <a:noFill/>
                          <a:ln w="1524">
                            <a:solidFill>
                              <a:srgbClr val="D0CECE"/>
                            </a:solidFill>
                            <a:round/>
                            <a:headEnd/>
                            <a:tailEnd/>
                          </a:ln>
                          <a:extLst>
                            <a:ext uri="{909E8E84-426E-40DD-AFC4-6F175D3DCCD1}">
                              <a14:hiddenFill xmlns:a14="http://schemas.microsoft.com/office/drawing/2010/main">
                                <a:noFill/>
                              </a14:hiddenFill>
                            </a:ext>
                          </a:extLst>
                        </wps:spPr>
                        <wps:bodyPr/>
                      </wps:wsp>
                      <wps:wsp>
                        <wps:cNvPr id="84" name="Text Box 67"/>
                        <wps:cNvSpPr txBox="1">
                          <a:spLocks noChangeArrowheads="1"/>
                        </wps:cNvSpPr>
                        <wps:spPr bwMode="auto">
                          <a:xfrm>
                            <a:off x="0" y="13"/>
                            <a:ext cx="886"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C6C1" w14:textId="77777777" w:rsidR="00413F4E" w:rsidRDefault="00413F4E" w:rsidP="00413F4E">
                              <w:pPr>
                                <w:bidi w:val="0"/>
                                <w:spacing w:before="31"/>
                                <w:rPr>
                                  <w:rFonts w:ascii="Calibri"/>
                                  <w:b/>
                                  <w:sz w:val="32"/>
                                </w:rPr>
                              </w:pPr>
                              <w:r>
                                <w:rPr>
                                  <w:rFonts w:ascii="Calibri"/>
                                  <w:b/>
                                  <w:sz w:val="32"/>
                                </w:rPr>
                                <w:t>RESEARCH PAPER</w:t>
                              </w:r>
                            </w:p>
                          </w:txbxContent>
                        </wps:txbx>
                        <wps:bodyPr rot="0" vert="horz" wrap="square" lIns="0" tIns="0" rIns="0" bIns="0" anchor="t" anchorCtr="0" upright="1">
                          <a:noAutofit/>
                        </wps:bodyPr>
                      </wps:wsp>
                    </wpg:wgp>
                  </a:graphicData>
                </a:graphic>
              </wp:inline>
            </w:drawing>
          </mc:Choice>
          <mc:Fallback>
            <w:pict>
              <v:group w14:anchorId="502CED83" id="Group 66" o:spid="_x0000_s1026" style="width:477pt;height:23.25pt;mso-position-horizontal-relative:char;mso-position-vertical-relative:line" coordorigin=",13" coordsize="332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0QWwMAAOkMAAAOAAAAZHJzL2Uyb0RvYy54bWzsV1lv2zAMfh+w/yDoffWRyzHqFF2aFQO6&#10;rVi7H6DY8oHZkicpsbtfP0qyc7XbeqwFCiwPhk6K/Eh+ZI5P2qpEaypkwVmEvSMXI8pinhQsi/C3&#10;6w/vAoykIiwhJWc0wjdU4pPZ2zfHTR1Sn+e8TKhAIITJsKkjnCtVh44j45xWRB7xmjLYTLmoiIKp&#10;yJxEkAakV6Xju+7YabhIasFjKiWsntlNPDPy05TG6kuaSqpQGWHQTZmvMN+l/jqzYxJmgtR5EXdq&#10;kEdoUZGCwaMbUWdEEbQSxS1RVRELLnmqjmJeOTxNi5gaG8Aazz2w5lzwVW1sycImqzcwAbQHOD1a&#10;bPx5fSlQkUR4MsSIkQp8ZJ5F47EGp6mzEM6ci/qqvhTWQhhe8Pi7hG3ncF/PM3sYLZtPPAF5ZKW4&#10;AadNRaVFgNmoNT642fiAtgrFsDh2R5OpC66KYc+fjvzJyDopzsGT22veoF9edDcHAx9M0NeGnnGs&#10;Q0L7otGy00qbBKEmt2jKp6F5lZOaGidJjVSP5rhH8yvEIGFZSZG1RD8P53o4pcUSMT7P4Rg9FYI3&#10;OSUJqOVpE0H5nQt6IsET9wR3YESQsEfXcyEfNUSDqW+E9xCRsBZSnVNeIT2IsAC1jdPI+kIqrcf2&#10;iPah5GWRfCjK0kxEtpyXAq0JpNmZO1/MF530vWMl04cZ19esRL1iDNQ2WdcseXID9glucxW4BQY5&#10;Fz8xaiBPIyx/rIigGJUfGWA09YZDndhmMhxNfJiI3Z3l7g5hMYiKsMLIDufKksGqFkWWw0ueMZrx&#10;UwjatDCGa8ytVp2yED0vFUaTO8JoqLHdiwpwxzOFkQkYHS8HgTQZTP8H0msKJMh7y+4XBQMqMuzZ&#10;xdCcXYouoh5ALZ4Jwy21bOl3n3y3tNExSwkK/IlZNvxAwpKhBlIy8IPA3NhjE7lLOq753UU6UENZ&#10;AuaRULPqohsrUpR2DLz2WxbSJKVBesGEh7Ta9ZNh6Sf5adA1OX0JeEY/jaAAP7Y2vC43BZtm6Vrj&#10;+p63aDw5oGWkWljvK8pzETSUO6DnvhvqnRwE0H/c1Qrdysa/1fm9bLxH+Vbtsu3I5IGVfFPFNxUc&#10;BrZ6w+AfVm7TDkI/bXqarvfXDfvu3CT+9h/K7BcAAAD//wMAUEsDBBQABgAIAAAAIQCjYcfY2wAA&#10;AAQBAAAPAAAAZHJzL2Rvd25yZXYueG1sTI9BS8NAEIXvgv9hGcGb3USbojGbUop6KkJbQbxNk2kS&#10;mp0N2W2S/ntHL3p58HjDe99ky8m2aqDeN44NxLMIFHHhyoYrAx/717tHUD4gl9g6JgMX8rDMr68y&#10;TEs38paGXaiUlLBP0UAdQpdq7YuaLPqZ64glO7reYhDbV7rscZRy2+r7KFpoiw3LQo0drWsqTruz&#10;NfA24rh6iF+Gzem4vnztk/fPTUzG3N5Mq2dQgabwdww/+IIOuTAd3JlLr1oD8kj4VcmekrnYg4H5&#10;IgGdZ/o/fP4NAAD//wMAUEsBAi0AFAAGAAgAAAAhALaDOJL+AAAA4QEAABMAAAAAAAAAAAAAAAAA&#10;AAAAAFtDb250ZW50X1R5cGVzXS54bWxQSwECLQAUAAYACAAAACEAOP0h/9YAAACUAQAACwAAAAAA&#10;AAAAAAAAAAAvAQAAX3JlbHMvLnJlbHNQSwECLQAUAAYACAAAACEAJlWtEFsDAADpDAAADgAAAAAA&#10;AAAAAAAAAAAuAgAAZHJzL2Uyb0RvYy54bWxQSwECLQAUAAYACAAAACEAo2HH2NsAAAAEAQAADwAA&#10;AAAAAAAAAAAAAAC1BQAAZHJzL2Rvd25yZXYueG1sUEsFBgAAAAAEAAQA8wAAAL0GAAAAAA==&#10;">
                <v:rect id="Rectangle 75" o:spid="_x0000_s1027" style="position:absolute;top:31;width:108;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UExgAAANsAAAAPAAAAZHJzL2Rvd25yZXYueG1sRI9Pa8JA&#10;FMTvBb/D8gQvohulWImuIqKgPRTqn4O3R/aZRLNvQ3Zjkm/fLRR6HGbmN8xy3ZpCvKhyuWUFk3EE&#10;gjixOudUweW8H81BOI+ssbBMCjpysF713pYYa9vwN71OPhUBwi5GBZn3ZSylSzIy6Ma2JA7e3VYG&#10;fZBVKnWFTYCbQk6jaCYN5hwWMixpm1HyPNVGweftPT1O6tq5erdpHt1weN13X0oN+u1mAcJT6//D&#10;f+2DVvAxg98v4QfI1Q8AAAD//wMAUEsBAi0AFAAGAAgAAAAhANvh9svuAAAAhQEAABMAAAAAAAAA&#10;AAAAAAAAAAAAAFtDb250ZW50X1R5cGVzXS54bWxQSwECLQAUAAYACAAAACEAWvQsW78AAAAVAQAA&#10;CwAAAAAAAAAAAAAAAAAfAQAAX3JlbHMvLnJlbHNQSwECLQAUAAYACAAAACEALM71BMYAAADbAAAA&#10;DwAAAAAAAAAAAAAAAAAHAgAAZHJzL2Rvd25yZXYueG1sUEsFBgAAAAADAAMAtwAAAPoCAAAAAA==&#10;" fillcolor="#d0cece" stroked="f"/>
                <v:rect id="Rectangle 74" o:spid="_x0000_s1028" style="position:absolute;left:108;top:31;width:73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CfxgAAANsAAAAPAAAAZHJzL2Rvd25yZXYueG1sRI9Ba8JA&#10;FITvBf/D8oReRDeWUiV1E0QU2h6ERnvo7ZF9TaLZtyG7Mcm/7xaEHoeZ+YbZpIOpxY1aV1lWsFxE&#10;IIhzqysuFJxPh/kahPPIGmvLpGAkB2kyedhgrG3Pn3TLfCEChF2MCkrvm1hKl5dk0C1sQxy8H9sa&#10;9EG2hdQt9gFuavkURS/SYMVhocSGdiXl16wzCj6+n4v3Zdc51+23/WWczb4O41Gpx+mwfQXhafD/&#10;4Xv7TStYreDvS/gBMvkFAAD//wMAUEsBAi0AFAAGAAgAAAAhANvh9svuAAAAhQEAABMAAAAAAAAA&#10;AAAAAAAAAAAAAFtDb250ZW50X1R5cGVzXS54bWxQSwECLQAUAAYACAAAACEAWvQsW78AAAAVAQAA&#10;CwAAAAAAAAAAAAAAAAAfAQAAX3JlbHMvLnJlbHNQSwECLQAUAAYACAAAACEAQ4JQn8YAAADbAAAA&#10;DwAAAAAAAAAAAAAAAAAHAgAAZHJzL2Rvd25yZXYueG1sUEsFBgAAAAADAAMAtwAAAPoCAAAAAA==&#10;" fillcolor="#d0cece" stroked="f"/>
                <v:line id="Line 73" o:spid="_x0000_s1029" style="position:absolute;visibility:visible;mso-wrap-style:square" from="0,14" to="33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U3xwwAAANsAAAAPAAAAZHJzL2Rvd25yZXYueG1sRE9Na8JA&#10;EL0X+h+WKfTWbKxiJWaVEhRKDlJt8TxmxySanY3ZrUn99d2D0OPjfafLwTTiSp2rLSsYRTEI4sLq&#10;mksF31/rlxkI55E1NpZJwS85WC4eH1JMtO15S9edL0UIYZeggsr7NpHSFRUZdJFtiQN3tJ1BH2BX&#10;St1hH8JNI1/jeCoN1hwaKmwpq6g4736MgstnPj7J/WRDG76Nb6tLlk8OmVLPT8P7HISnwf+L7+4P&#10;reAtjA1fwg+Qiz8AAAD//wMAUEsBAi0AFAAGAAgAAAAhANvh9svuAAAAhQEAABMAAAAAAAAAAAAA&#10;AAAAAAAAAFtDb250ZW50X1R5cGVzXS54bWxQSwECLQAUAAYACAAAACEAWvQsW78AAAAVAQAACwAA&#10;AAAAAAAAAAAAAAAfAQAAX3JlbHMvLnJlbHNQSwECLQAUAAYACAAAACEAiOFN8cMAAADbAAAADwAA&#10;AAAAAAAAAAAAAAAHAgAAZHJzL2Rvd25yZXYueG1sUEsFBgAAAAADAAMAtwAAAPcCAAAAAA==&#10;" strokeweight="1.44pt"/>
                <v:line id="Line 72" o:spid="_x0000_s1030" style="position:absolute;visibility:visible;mso-wrap-style:square" from="0,30" to="33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pYFxAAAANsAAAAPAAAAZHJzL2Rvd25yZXYueG1sRI9BawIx&#10;FITvQv9DeIXeNNuCWrdml1IQtl6K1oPenptndunmZUmirv++KRQ8DjPzDbMsB9uJC/nQOlbwPMlA&#10;ENdOt2wU7L5X41cQISJr7ByTghsFKIuH0RJz7a68ocs2GpEgHHJU0MTY51KGuiGLYeJ64uSdnLcY&#10;k/RGao/XBLedfMmymbTYclposKePhuqf7dkqmB6/Kvc53fm26jWuTwczk3uj1NPj8P4GItIQ7+H/&#10;dqUVzBfw9yX9AFn8AgAA//8DAFBLAQItABQABgAIAAAAIQDb4fbL7gAAAIUBAAATAAAAAAAAAAAA&#10;AAAAAAAAAABbQ29udGVudF9UeXBlc10ueG1sUEsBAi0AFAAGAAgAAAAhAFr0LFu/AAAAFQEAAAsA&#10;AAAAAAAAAAAAAAAAHwEAAF9yZWxzLy5yZWxzUEsBAi0AFAAGAAgAAAAhADXClgXEAAAA2wAAAA8A&#10;AAAAAAAAAAAAAAAABwIAAGRycy9kb3ducmV2LnhtbFBLBQYAAAAAAwADALcAAAD4AgAAAAA=&#10;" strokecolor="#d0cece" strokeweight=".12pt"/>
                <v:shapetype id="_x0000_t202" coordsize="21600,21600" o:spt="202" path="m,l,21600r21600,l21600,xe">
                  <v:stroke joinstyle="miter"/>
                  <v:path gradientshapeok="t" o:connecttype="rect"/>
                </v:shapetype>
                <v:shape id="Text Box 67" o:spid="_x0000_s1031" type="#_x0000_t202" style="position:absolute;top:13;width:886;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E31C6C1" w14:textId="77777777" w:rsidR="00413F4E" w:rsidRDefault="00413F4E" w:rsidP="00413F4E">
                        <w:pPr>
                          <w:bidi w:val="0"/>
                          <w:spacing w:before="31"/>
                          <w:rPr>
                            <w:rFonts w:ascii="Calibri"/>
                            <w:b/>
                            <w:sz w:val="32"/>
                          </w:rPr>
                        </w:pPr>
                        <w:r>
                          <w:rPr>
                            <w:rFonts w:ascii="Calibri"/>
                            <w:b/>
                            <w:sz w:val="32"/>
                          </w:rPr>
                          <w:t>RESEARCH PAPER</w:t>
                        </w:r>
                      </w:p>
                    </w:txbxContent>
                  </v:textbox>
                </v:shape>
                <w10:anchorlock/>
              </v:group>
            </w:pict>
          </mc:Fallback>
        </mc:AlternateContent>
      </w:r>
    </w:p>
    <w:p w14:paraId="6F2F1791" w14:textId="77777777" w:rsidR="00413F4E" w:rsidRDefault="00413F4E" w:rsidP="00396FBD">
      <w:pPr>
        <w:bidi w:val="0"/>
        <w:spacing w:after="0"/>
        <w:ind w:right="51"/>
        <w:rPr>
          <w:rFonts w:asciiTheme="majorBidi" w:hAnsiTheme="majorBidi" w:cstheme="majorBidi"/>
          <w:b/>
          <w:bCs/>
          <w:sz w:val="24"/>
          <w:szCs w:val="24"/>
        </w:rPr>
      </w:pPr>
    </w:p>
    <w:p w14:paraId="18B07622" w14:textId="77777777" w:rsidR="001B7F24" w:rsidRDefault="001B7F24" w:rsidP="00AA142F">
      <w:pPr>
        <w:bidi w:val="0"/>
        <w:spacing w:after="0"/>
        <w:ind w:right="51"/>
        <w:jc w:val="center"/>
        <w:rPr>
          <w:rFonts w:asciiTheme="majorBidi" w:hAnsiTheme="majorBidi" w:cstheme="majorBidi"/>
          <w:b/>
          <w:bCs/>
          <w:sz w:val="28"/>
          <w:szCs w:val="28"/>
        </w:rPr>
        <w:sectPr w:rsidR="001B7F24" w:rsidSect="00044E56">
          <w:headerReference w:type="even" r:id="rId9"/>
          <w:headerReference w:type="default" r:id="rId10"/>
          <w:footerReference w:type="even" r:id="rId11"/>
          <w:footerReference w:type="default" r:id="rId12"/>
          <w:footerReference w:type="first" r:id="rId13"/>
          <w:type w:val="continuous"/>
          <w:pgSz w:w="12242" w:h="15842" w:code="1"/>
          <w:pgMar w:top="1134" w:right="1134" w:bottom="1134" w:left="1134" w:header="1134" w:footer="567" w:gutter="0"/>
          <w:pgNumType w:start="163"/>
          <w:cols w:num="2" w:space="567"/>
          <w:docGrid w:linePitch="360"/>
        </w:sectPr>
      </w:pPr>
    </w:p>
    <w:p w14:paraId="78E5C243" w14:textId="77777777" w:rsidR="00234FCD" w:rsidRDefault="00234FCD" w:rsidP="00AA142F">
      <w:pPr>
        <w:bidi w:val="0"/>
        <w:spacing w:after="0"/>
        <w:ind w:right="51"/>
        <w:jc w:val="center"/>
        <w:rPr>
          <w:rFonts w:asciiTheme="majorBidi" w:hAnsiTheme="majorBidi" w:cstheme="majorBidi"/>
          <w:b/>
          <w:bCs/>
          <w:sz w:val="28"/>
          <w:szCs w:val="28"/>
        </w:rPr>
      </w:pPr>
    </w:p>
    <w:p w14:paraId="65FAE8F5" w14:textId="5600D484" w:rsidR="00AA142F" w:rsidRDefault="00AA142F" w:rsidP="00234FCD">
      <w:pPr>
        <w:bidi w:val="0"/>
        <w:spacing w:after="0"/>
        <w:ind w:right="51"/>
        <w:jc w:val="center"/>
        <w:rPr>
          <w:rFonts w:asciiTheme="majorBidi" w:hAnsiTheme="majorBidi" w:cstheme="majorBidi"/>
          <w:b/>
          <w:bCs/>
          <w:sz w:val="28"/>
          <w:szCs w:val="28"/>
        </w:rPr>
      </w:pPr>
      <w:bookmarkStart w:id="0" w:name="_Hlk138964437"/>
      <w:r w:rsidRPr="00413F4E">
        <w:rPr>
          <w:rFonts w:asciiTheme="majorBidi" w:hAnsiTheme="majorBidi" w:cstheme="majorBidi"/>
          <w:b/>
          <w:bCs/>
          <w:sz w:val="28"/>
          <w:szCs w:val="28"/>
        </w:rPr>
        <w:t>The impact of severe hypertriglyceridemia on glycosylated hemoglobin test</w:t>
      </w:r>
    </w:p>
    <w:p w14:paraId="10B8A29F" w14:textId="6CF74ABB" w:rsidR="00DB20F1" w:rsidRPr="00413F4E" w:rsidRDefault="00AA142F" w:rsidP="00AA142F">
      <w:pPr>
        <w:bidi w:val="0"/>
        <w:spacing w:after="0"/>
        <w:ind w:right="51"/>
        <w:jc w:val="center"/>
        <w:rPr>
          <w:rFonts w:asciiTheme="majorBidi" w:hAnsiTheme="majorBidi" w:cstheme="majorBidi"/>
          <w:b/>
          <w:bCs/>
          <w:sz w:val="28"/>
          <w:szCs w:val="28"/>
        </w:rPr>
      </w:pPr>
      <w:r w:rsidRPr="00413F4E">
        <w:rPr>
          <w:rFonts w:asciiTheme="majorBidi" w:hAnsiTheme="majorBidi" w:cstheme="majorBidi"/>
          <w:b/>
          <w:bCs/>
          <w:sz w:val="28"/>
          <w:szCs w:val="28"/>
        </w:rPr>
        <w:t xml:space="preserve"> in type 2 diabetes mellitus</w:t>
      </w:r>
    </w:p>
    <w:p w14:paraId="5830E0EA" w14:textId="77777777" w:rsidR="00413F4E" w:rsidRDefault="00413F4E" w:rsidP="00396FBD">
      <w:pPr>
        <w:bidi w:val="0"/>
        <w:spacing w:after="0"/>
        <w:ind w:right="51"/>
        <w:rPr>
          <w:rFonts w:asciiTheme="majorBidi" w:eastAsia="Times New Roman" w:hAnsiTheme="majorBidi" w:cstheme="majorBidi"/>
          <w:b/>
          <w:bCs/>
          <w:sz w:val="24"/>
          <w:szCs w:val="24"/>
          <w:lang w:bidi="ar-IQ"/>
        </w:rPr>
      </w:pPr>
    </w:p>
    <w:p w14:paraId="32D923CE" w14:textId="38453AF3" w:rsidR="00396FBD" w:rsidRPr="00396FBD" w:rsidRDefault="00BA1890" w:rsidP="00396FBD">
      <w:pPr>
        <w:bidi w:val="0"/>
        <w:jc w:val="center"/>
        <w:rPr>
          <w:rFonts w:cstheme="minorHAnsi"/>
          <w:b/>
          <w:bCs/>
          <w:sz w:val="40"/>
          <w:szCs w:val="40"/>
          <w:vertAlign w:val="superscript"/>
          <w:lang w:bidi="ar-IQ"/>
        </w:rPr>
      </w:pPr>
      <w:r w:rsidRPr="00396FBD">
        <w:rPr>
          <w:rFonts w:eastAsia="Times New Roman" w:cstheme="minorHAnsi"/>
          <w:b/>
          <w:bCs/>
          <w:sz w:val="24"/>
          <w:szCs w:val="24"/>
          <w:lang w:bidi="ar-IQ"/>
        </w:rPr>
        <w:t>Ali I</w:t>
      </w:r>
      <w:r w:rsidR="00413F4E" w:rsidRPr="00396FBD">
        <w:rPr>
          <w:rFonts w:eastAsia="Times New Roman" w:cstheme="minorHAnsi"/>
          <w:b/>
          <w:bCs/>
          <w:sz w:val="24"/>
          <w:szCs w:val="24"/>
          <w:lang w:bidi="ar-IQ"/>
        </w:rPr>
        <w:t>.</w:t>
      </w:r>
      <w:r w:rsidRPr="00396FBD">
        <w:rPr>
          <w:rFonts w:eastAsia="Times New Roman" w:cstheme="minorHAnsi"/>
          <w:b/>
          <w:bCs/>
          <w:sz w:val="24"/>
          <w:szCs w:val="24"/>
          <w:lang w:bidi="ar-IQ"/>
        </w:rPr>
        <w:t xml:space="preserve"> Salim</w:t>
      </w:r>
      <w:r w:rsidR="00396FBD" w:rsidRPr="00396FBD">
        <w:rPr>
          <w:rFonts w:eastAsia="Times New Roman" w:cstheme="minorHAnsi"/>
          <w:b/>
          <w:bCs/>
          <w:sz w:val="24"/>
          <w:szCs w:val="24"/>
          <w:lang w:bidi="ar-IQ"/>
        </w:rPr>
        <w:t xml:space="preserve">, </w:t>
      </w:r>
      <w:r w:rsidR="00396FBD" w:rsidRPr="00396FBD">
        <w:rPr>
          <w:rFonts w:cstheme="minorHAnsi"/>
          <w:b/>
          <w:bCs/>
          <w:sz w:val="20"/>
          <w:szCs w:val="20"/>
          <w:lang w:bidi="ar-IQ"/>
        </w:rPr>
        <w:t>Abbas A. Mansoor</w:t>
      </w:r>
      <w:r w:rsidR="00396FBD" w:rsidRPr="00396FBD">
        <w:rPr>
          <w:rFonts w:cstheme="minorHAnsi"/>
          <w:b/>
          <w:bCs/>
          <w:sz w:val="20"/>
          <w:szCs w:val="20"/>
          <w:vertAlign w:val="superscript"/>
          <w:lang w:bidi="ar-IQ"/>
        </w:rPr>
        <w:t>2</w:t>
      </w:r>
      <w:r w:rsidR="00396FBD" w:rsidRPr="00396FBD">
        <w:rPr>
          <w:rFonts w:cstheme="minorHAnsi"/>
          <w:b/>
          <w:bCs/>
          <w:sz w:val="20"/>
          <w:szCs w:val="20"/>
          <w:lang w:bidi="ar-IQ"/>
        </w:rPr>
        <w:t>, Hussein A. Nwayyir</w:t>
      </w:r>
      <w:r w:rsidR="00396FBD" w:rsidRPr="00396FBD">
        <w:rPr>
          <w:rFonts w:cstheme="minorHAnsi"/>
          <w:b/>
          <w:bCs/>
          <w:sz w:val="20"/>
          <w:szCs w:val="20"/>
          <w:vertAlign w:val="superscript"/>
          <w:lang w:bidi="ar-IQ"/>
        </w:rPr>
        <w:t>3</w:t>
      </w:r>
    </w:p>
    <w:p w14:paraId="78C36556" w14:textId="299AA2D4" w:rsidR="00396FBD" w:rsidRPr="001B7F24" w:rsidRDefault="00396FBD" w:rsidP="00CF3562">
      <w:pPr>
        <w:pStyle w:val="ListParagraph"/>
        <w:numPr>
          <w:ilvl w:val="0"/>
          <w:numId w:val="5"/>
        </w:numPr>
        <w:bidi w:val="0"/>
        <w:spacing w:after="0" w:line="240" w:lineRule="auto"/>
        <w:ind w:left="1701" w:hanging="283"/>
        <w:jc w:val="both"/>
        <w:rPr>
          <w:rFonts w:asciiTheme="majorBidi" w:hAnsiTheme="majorBidi" w:cstheme="majorBidi"/>
          <w:sz w:val="20"/>
          <w:szCs w:val="20"/>
          <w:lang w:bidi="ar-IQ"/>
        </w:rPr>
      </w:pPr>
      <w:r w:rsidRPr="001B7F24">
        <w:rPr>
          <w:rFonts w:asciiTheme="majorBidi" w:hAnsiTheme="majorBidi" w:cstheme="majorBidi"/>
          <w:sz w:val="20"/>
          <w:szCs w:val="20"/>
          <w:lang w:bidi="ar-IQ"/>
        </w:rPr>
        <w:t>MBChB.</w:t>
      </w:r>
      <w:r w:rsidR="00AA142F" w:rsidRPr="001B7F24">
        <w:rPr>
          <w:rFonts w:asciiTheme="majorBidi" w:hAnsiTheme="majorBidi" w:cstheme="majorBidi"/>
          <w:sz w:val="20"/>
          <w:szCs w:val="20"/>
          <w:lang w:bidi="ar-IQ"/>
        </w:rPr>
        <w:t xml:space="preserve">, </w:t>
      </w:r>
      <w:proofErr w:type="spellStart"/>
      <w:r w:rsidR="00791289" w:rsidRPr="001B7F24">
        <w:rPr>
          <w:rFonts w:asciiTheme="majorBidi" w:eastAsia="Times New Roman" w:hAnsiTheme="majorBidi" w:cstheme="majorBidi"/>
          <w:sz w:val="20"/>
          <w:szCs w:val="20"/>
        </w:rPr>
        <w:t>Fayhaa</w:t>
      </w:r>
      <w:proofErr w:type="spellEnd"/>
      <w:r w:rsidR="00791289" w:rsidRPr="001B7F24">
        <w:rPr>
          <w:rFonts w:asciiTheme="majorBidi" w:eastAsia="Times New Roman" w:hAnsiTheme="majorBidi" w:cstheme="majorBidi"/>
          <w:sz w:val="20"/>
          <w:szCs w:val="20"/>
        </w:rPr>
        <w:t xml:space="preserve"> Teaching Hospital, </w:t>
      </w:r>
      <w:proofErr w:type="spellStart"/>
      <w:r w:rsidR="00791289" w:rsidRPr="001B7F24">
        <w:rPr>
          <w:rFonts w:asciiTheme="majorBidi" w:eastAsia="Times New Roman" w:hAnsiTheme="majorBidi" w:cstheme="majorBidi"/>
          <w:sz w:val="20"/>
          <w:szCs w:val="20"/>
        </w:rPr>
        <w:t>Basrah</w:t>
      </w:r>
      <w:proofErr w:type="spellEnd"/>
      <w:r w:rsidR="00791289" w:rsidRPr="001B7F24">
        <w:rPr>
          <w:rFonts w:asciiTheme="majorBidi" w:eastAsia="Times New Roman" w:hAnsiTheme="majorBidi" w:cstheme="majorBidi"/>
          <w:sz w:val="20"/>
          <w:szCs w:val="20"/>
        </w:rPr>
        <w:t>, Iraq</w:t>
      </w:r>
    </w:p>
    <w:p w14:paraId="7D08F696" w14:textId="3465AD2B" w:rsidR="00396FBD" w:rsidRPr="001B7F24" w:rsidRDefault="00396FBD" w:rsidP="00AA142F">
      <w:pPr>
        <w:pStyle w:val="ListParagraph"/>
        <w:numPr>
          <w:ilvl w:val="0"/>
          <w:numId w:val="5"/>
        </w:numPr>
        <w:bidi w:val="0"/>
        <w:ind w:left="1701" w:hanging="283"/>
        <w:jc w:val="both"/>
        <w:rPr>
          <w:rFonts w:asciiTheme="majorBidi" w:hAnsiTheme="majorBidi" w:cstheme="majorBidi"/>
          <w:sz w:val="20"/>
          <w:szCs w:val="20"/>
          <w:lang w:bidi="ar-IQ"/>
        </w:rPr>
      </w:pPr>
      <w:r w:rsidRPr="001B7F24">
        <w:rPr>
          <w:rFonts w:asciiTheme="majorBidi" w:hAnsiTheme="majorBidi" w:cstheme="majorBidi"/>
          <w:sz w:val="20"/>
          <w:szCs w:val="20"/>
          <w:lang w:bidi="ar-IQ"/>
        </w:rPr>
        <w:t>MD, FRCP, FACE</w:t>
      </w:r>
      <w:r w:rsidR="00791289" w:rsidRPr="001B7F24">
        <w:rPr>
          <w:rFonts w:asciiTheme="majorBidi" w:hAnsiTheme="majorBidi" w:cstheme="majorBidi"/>
          <w:sz w:val="20"/>
          <w:szCs w:val="20"/>
          <w:lang w:bidi="ar-IQ"/>
        </w:rPr>
        <w:t xml:space="preserve">, Department of Medicine, </w:t>
      </w:r>
      <w:proofErr w:type="spellStart"/>
      <w:r w:rsidR="00791289" w:rsidRPr="001B7F24">
        <w:rPr>
          <w:rFonts w:asciiTheme="majorBidi" w:hAnsiTheme="majorBidi" w:cstheme="majorBidi"/>
          <w:sz w:val="20"/>
          <w:szCs w:val="20"/>
          <w:lang w:bidi="ar-IQ"/>
        </w:rPr>
        <w:t>Universirty</w:t>
      </w:r>
      <w:proofErr w:type="spellEnd"/>
      <w:r w:rsidR="00791289" w:rsidRPr="001B7F24">
        <w:rPr>
          <w:rFonts w:asciiTheme="majorBidi" w:hAnsiTheme="majorBidi" w:cstheme="majorBidi"/>
          <w:sz w:val="20"/>
          <w:szCs w:val="20"/>
          <w:lang w:bidi="ar-IQ"/>
        </w:rPr>
        <w:t xml:space="preserve"> of </w:t>
      </w:r>
      <w:proofErr w:type="spellStart"/>
      <w:r w:rsidR="00791289" w:rsidRPr="001B7F24">
        <w:rPr>
          <w:rFonts w:asciiTheme="majorBidi" w:hAnsiTheme="majorBidi" w:cstheme="majorBidi"/>
          <w:sz w:val="20"/>
          <w:szCs w:val="20"/>
          <w:lang w:bidi="ar-IQ"/>
        </w:rPr>
        <w:t>Basrah</w:t>
      </w:r>
      <w:proofErr w:type="spellEnd"/>
      <w:r w:rsidR="00791289" w:rsidRPr="001B7F24">
        <w:rPr>
          <w:rFonts w:asciiTheme="majorBidi" w:hAnsiTheme="majorBidi" w:cstheme="majorBidi"/>
          <w:sz w:val="20"/>
          <w:szCs w:val="20"/>
          <w:lang w:bidi="ar-IQ"/>
        </w:rPr>
        <w:t>, Iraq</w:t>
      </w:r>
    </w:p>
    <w:p w14:paraId="63A60441" w14:textId="269B47FA" w:rsidR="00396FBD" w:rsidRPr="001B7F24" w:rsidRDefault="00396FBD" w:rsidP="00AA142F">
      <w:pPr>
        <w:pStyle w:val="ListParagraph"/>
        <w:numPr>
          <w:ilvl w:val="0"/>
          <w:numId w:val="5"/>
        </w:numPr>
        <w:bidi w:val="0"/>
        <w:spacing w:after="0"/>
        <w:ind w:left="1701" w:hanging="283"/>
        <w:jc w:val="both"/>
        <w:rPr>
          <w:rFonts w:asciiTheme="majorBidi" w:eastAsia="Times New Roman" w:hAnsiTheme="majorBidi" w:cstheme="majorBidi"/>
          <w:sz w:val="28"/>
          <w:szCs w:val="28"/>
        </w:rPr>
      </w:pPr>
      <w:r w:rsidRPr="001B7F24">
        <w:rPr>
          <w:rFonts w:asciiTheme="majorBidi" w:hAnsiTheme="majorBidi" w:cstheme="majorBidi"/>
          <w:sz w:val="20"/>
          <w:szCs w:val="20"/>
          <w:lang w:bidi="ar-IQ"/>
        </w:rPr>
        <w:t>FICMS.</w:t>
      </w:r>
      <w:r w:rsidR="00AA142F" w:rsidRPr="001B7F24">
        <w:rPr>
          <w:rFonts w:asciiTheme="majorBidi" w:hAnsiTheme="majorBidi" w:cstheme="majorBidi"/>
          <w:sz w:val="20"/>
          <w:szCs w:val="20"/>
          <w:lang w:bidi="ar-IQ"/>
        </w:rPr>
        <w:t>,</w:t>
      </w:r>
      <w:r w:rsidRPr="001B7F24">
        <w:rPr>
          <w:rFonts w:asciiTheme="majorBidi" w:eastAsia="Times New Roman" w:hAnsiTheme="majorBidi" w:cstheme="majorBidi"/>
          <w:color w:val="080607"/>
          <w:sz w:val="20"/>
          <w:szCs w:val="20"/>
        </w:rPr>
        <w:t xml:space="preserve"> Department of </w:t>
      </w:r>
      <w:r w:rsidR="00791289" w:rsidRPr="001B7F24">
        <w:rPr>
          <w:rFonts w:asciiTheme="majorBidi" w:eastAsia="Times New Roman" w:hAnsiTheme="majorBidi" w:cstheme="majorBidi"/>
          <w:color w:val="080607"/>
          <w:sz w:val="20"/>
          <w:szCs w:val="20"/>
        </w:rPr>
        <w:t>M</w:t>
      </w:r>
      <w:r w:rsidRPr="001B7F24">
        <w:rPr>
          <w:rFonts w:asciiTheme="majorBidi" w:eastAsia="Times New Roman" w:hAnsiTheme="majorBidi" w:cstheme="majorBidi"/>
          <w:color w:val="080607"/>
          <w:sz w:val="20"/>
          <w:szCs w:val="20"/>
        </w:rPr>
        <w:t>edicine</w:t>
      </w:r>
      <w:r w:rsidR="00AA142F" w:rsidRPr="001B7F24">
        <w:rPr>
          <w:rFonts w:asciiTheme="majorBidi" w:eastAsia="Times New Roman" w:hAnsiTheme="majorBidi" w:cstheme="majorBidi"/>
          <w:color w:val="080607"/>
          <w:sz w:val="20"/>
          <w:szCs w:val="20"/>
        </w:rPr>
        <w:t xml:space="preserve"> </w:t>
      </w:r>
      <w:r w:rsidRPr="001B7F24">
        <w:rPr>
          <w:rFonts w:asciiTheme="majorBidi" w:eastAsia="Times New Roman" w:hAnsiTheme="majorBidi" w:cstheme="majorBidi"/>
          <w:color w:val="080607"/>
          <w:sz w:val="20"/>
          <w:szCs w:val="20"/>
        </w:rPr>
        <w:t>College of Medicine</w:t>
      </w:r>
      <w:r w:rsidR="00AA142F" w:rsidRPr="001B7F24">
        <w:rPr>
          <w:rFonts w:asciiTheme="majorBidi" w:eastAsia="Times New Roman" w:hAnsiTheme="majorBidi" w:cstheme="majorBidi"/>
          <w:color w:val="080607"/>
          <w:sz w:val="20"/>
          <w:szCs w:val="20"/>
        </w:rPr>
        <w:t xml:space="preserve">, </w:t>
      </w:r>
      <w:r w:rsidRPr="001B7F24">
        <w:rPr>
          <w:rFonts w:asciiTheme="majorBidi" w:eastAsia="Times New Roman" w:hAnsiTheme="majorBidi" w:cstheme="majorBidi"/>
          <w:color w:val="080607"/>
          <w:sz w:val="20"/>
          <w:szCs w:val="20"/>
        </w:rPr>
        <w:t xml:space="preserve">University of </w:t>
      </w:r>
      <w:proofErr w:type="spellStart"/>
      <w:r w:rsidRPr="001B7F24">
        <w:rPr>
          <w:rFonts w:asciiTheme="majorBidi" w:eastAsia="Times New Roman" w:hAnsiTheme="majorBidi" w:cstheme="majorBidi"/>
          <w:color w:val="080607"/>
          <w:sz w:val="20"/>
          <w:szCs w:val="20"/>
        </w:rPr>
        <w:t>Вasrah</w:t>
      </w:r>
      <w:proofErr w:type="spellEnd"/>
      <w:r w:rsidR="00AA142F" w:rsidRPr="001B7F24">
        <w:rPr>
          <w:rFonts w:asciiTheme="majorBidi" w:eastAsia="Times New Roman" w:hAnsiTheme="majorBidi" w:cstheme="majorBidi"/>
          <w:color w:val="080607"/>
          <w:sz w:val="20"/>
          <w:szCs w:val="20"/>
        </w:rPr>
        <w:t>, Iraq</w:t>
      </w:r>
    </w:p>
    <w:p w14:paraId="7FAAE940" w14:textId="75D1DDA7" w:rsidR="00AD2010" w:rsidRDefault="00AD2010" w:rsidP="00396FBD">
      <w:pPr>
        <w:bidi w:val="0"/>
        <w:spacing w:after="0"/>
        <w:ind w:right="51"/>
        <w:jc w:val="center"/>
        <w:rPr>
          <w:rFonts w:asciiTheme="majorBidi" w:eastAsia="Times New Roman" w:hAnsiTheme="majorBidi" w:cstheme="majorBidi"/>
          <w:b/>
          <w:bCs/>
          <w:sz w:val="24"/>
          <w:szCs w:val="24"/>
          <w:lang w:bidi="ar-IQ"/>
        </w:rPr>
      </w:pPr>
    </w:p>
    <w:p w14:paraId="6F5DC4EB" w14:textId="61985ACA" w:rsidR="00AD2010" w:rsidRPr="00AD2010" w:rsidRDefault="00AD2010" w:rsidP="00396FBD">
      <w:pPr>
        <w:bidi w:val="0"/>
        <w:spacing w:after="0"/>
        <w:ind w:right="51"/>
        <w:jc w:val="center"/>
        <w:rPr>
          <w:b/>
          <w:bCs/>
        </w:rPr>
      </w:pPr>
      <w:r w:rsidRPr="00F16FB7">
        <w:rPr>
          <w:rFonts w:eastAsia="Calibri" w:cstheme="minorHAnsi"/>
          <w:b/>
          <w:bCs/>
          <w:sz w:val="20"/>
          <w:szCs w:val="20"/>
        </w:rPr>
        <w:t>Received</w:t>
      </w:r>
      <w:r w:rsidRPr="00AD2010">
        <w:t xml:space="preserve">: </w:t>
      </w:r>
      <w:r w:rsidRPr="00AD2010">
        <w:rPr>
          <w:b/>
          <w:bCs/>
        </w:rPr>
        <w:t>13.</w:t>
      </w:r>
      <w:r w:rsidR="00A22A13">
        <w:rPr>
          <w:b/>
          <w:bCs/>
        </w:rPr>
        <w:t>0</w:t>
      </w:r>
      <w:r w:rsidRPr="00AD2010">
        <w:rPr>
          <w:b/>
          <w:bCs/>
        </w:rPr>
        <w:t>2.2023</w:t>
      </w:r>
      <w:r w:rsidRPr="00F16FB7">
        <w:rPr>
          <w:rFonts w:eastAsia="Calibri" w:cstheme="minorHAnsi"/>
          <w:b/>
          <w:bCs/>
          <w:sz w:val="20"/>
          <w:szCs w:val="20"/>
        </w:rPr>
        <w:t xml:space="preserve"> </w:t>
      </w:r>
      <w:r>
        <w:rPr>
          <w:rFonts w:eastAsia="Calibri" w:cstheme="minorHAnsi" w:hint="cs"/>
          <w:b/>
          <w:bCs/>
          <w:sz w:val="20"/>
          <w:szCs w:val="20"/>
          <w:rtl/>
        </w:rPr>
        <w:t xml:space="preserve">            </w:t>
      </w:r>
      <w:r w:rsidRPr="00F16FB7">
        <w:rPr>
          <w:rFonts w:eastAsia="Calibri" w:cstheme="minorHAnsi"/>
          <w:b/>
          <w:bCs/>
          <w:sz w:val="20"/>
          <w:szCs w:val="20"/>
        </w:rPr>
        <w:t xml:space="preserve">Accepted:  </w:t>
      </w:r>
      <w:r w:rsidRPr="00AD2010">
        <w:rPr>
          <w:b/>
          <w:bCs/>
        </w:rPr>
        <w:t>5.</w:t>
      </w:r>
      <w:r w:rsidR="00C42883">
        <w:rPr>
          <w:b/>
          <w:bCs/>
        </w:rPr>
        <w:t>0</w:t>
      </w:r>
      <w:r w:rsidRPr="00AD2010">
        <w:rPr>
          <w:b/>
          <w:bCs/>
        </w:rPr>
        <w:t>6.2023</w:t>
      </w:r>
    </w:p>
    <w:p w14:paraId="32433253" w14:textId="77777777" w:rsidR="00791289" w:rsidRDefault="00791289" w:rsidP="00396FBD">
      <w:pPr>
        <w:bidi w:val="0"/>
        <w:spacing w:after="0"/>
        <w:ind w:right="51"/>
        <w:rPr>
          <w:rFonts w:cstheme="minorHAnsi"/>
          <w:b/>
          <w:bCs/>
          <w:sz w:val="24"/>
          <w:szCs w:val="24"/>
          <w:lang w:bidi="ar-IQ"/>
        </w:rPr>
      </w:pPr>
    </w:p>
    <w:p w14:paraId="6D834AE9" w14:textId="5111C86F" w:rsidR="00E23E5F" w:rsidRPr="00AD2010" w:rsidRDefault="00C82B22" w:rsidP="00791289">
      <w:pPr>
        <w:bidi w:val="0"/>
        <w:spacing w:after="0"/>
        <w:ind w:right="51"/>
        <w:rPr>
          <w:rFonts w:cstheme="minorHAnsi"/>
          <w:b/>
          <w:bCs/>
          <w:sz w:val="24"/>
          <w:szCs w:val="24"/>
        </w:rPr>
      </w:pPr>
      <w:r w:rsidRPr="00AD2010">
        <w:rPr>
          <w:rFonts w:cstheme="minorHAnsi"/>
          <w:b/>
          <w:bCs/>
          <w:sz w:val="24"/>
          <w:szCs w:val="24"/>
          <w:lang w:bidi="ar-IQ"/>
        </w:rPr>
        <w:t>Abstract</w:t>
      </w:r>
      <w:r w:rsidRPr="00AD2010">
        <w:rPr>
          <w:rFonts w:cstheme="minorHAnsi"/>
          <w:b/>
          <w:bCs/>
          <w:sz w:val="24"/>
          <w:szCs w:val="24"/>
          <w:lang w:bidi="ar-IQ"/>
        </w:rPr>
        <w:tab/>
      </w:r>
    </w:p>
    <w:p w14:paraId="2DF87B41" w14:textId="4116CCDA" w:rsidR="00E23E5F" w:rsidRPr="00AD2010" w:rsidRDefault="00C82B22" w:rsidP="00396FBD">
      <w:pPr>
        <w:bidi w:val="0"/>
        <w:spacing w:after="0"/>
        <w:ind w:right="51"/>
        <w:jc w:val="both"/>
        <w:rPr>
          <w:rFonts w:asciiTheme="majorBidi" w:hAnsiTheme="majorBidi" w:cstheme="majorBidi"/>
          <w:sz w:val="20"/>
          <w:szCs w:val="20"/>
        </w:rPr>
      </w:pPr>
      <w:r w:rsidRPr="00AD2010">
        <w:rPr>
          <w:rFonts w:asciiTheme="majorBidi" w:hAnsiTheme="majorBidi" w:cstheme="majorBidi"/>
          <w:b/>
          <w:bCs/>
          <w:sz w:val="20"/>
          <w:szCs w:val="20"/>
          <w:lang w:bidi="ar-IQ"/>
        </w:rPr>
        <w:t>Background:</w:t>
      </w:r>
      <w:r w:rsidR="00AD2010" w:rsidRPr="00AD2010">
        <w:rPr>
          <w:rFonts w:asciiTheme="majorBidi" w:hAnsiTheme="majorBidi" w:cstheme="majorBidi"/>
          <w:b/>
          <w:bCs/>
          <w:sz w:val="20"/>
          <w:szCs w:val="20"/>
          <w:lang w:bidi="ar-IQ"/>
        </w:rPr>
        <w:t xml:space="preserve"> </w:t>
      </w:r>
      <w:r w:rsidR="00AD2010" w:rsidRPr="00AD2010">
        <w:rPr>
          <w:rFonts w:asciiTheme="majorBidi" w:hAnsiTheme="majorBidi" w:cstheme="majorBidi"/>
          <w:sz w:val="20"/>
          <w:szCs w:val="20"/>
          <w:lang w:bidi="ar-IQ"/>
        </w:rPr>
        <w:t>a</w:t>
      </w:r>
      <w:r w:rsidRPr="00AD2010">
        <w:rPr>
          <w:rFonts w:asciiTheme="majorBidi" w:hAnsiTheme="majorBidi" w:cstheme="majorBidi"/>
          <w:sz w:val="20"/>
          <w:szCs w:val="20"/>
          <w:lang w:bidi="ar-IQ"/>
        </w:rPr>
        <w:t xml:space="preserve">lthough the glycosylated hemoglobin (HbA1c) test is a valid test for diabetes </w:t>
      </w:r>
      <w:r w:rsidR="00145E3B" w:rsidRPr="00AD2010">
        <w:rPr>
          <w:rFonts w:asciiTheme="majorBidi" w:hAnsiTheme="majorBidi" w:cstheme="majorBidi"/>
          <w:sz w:val="20"/>
          <w:szCs w:val="20"/>
          <w:lang w:bidi="ar-IQ"/>
        </w:rPr>
        <w:t xml:space="preserve">diagnosis and evaluation of </w:t>
      </w:r>
      <w:r w:rsidRPr="00AD2010">
        <w:rPr>
          <w:rFonts w:asciiTheme="majorBidi" w:hAnsiTheme="majorBidi" w:cstheme="majorBidi"/>
          <w:sz w:val="20"/>
          <w:szCs w:val="20"/>
          <w:lang w:bidi="ar-IQ"/>
        </w:rPr>
        <w:t>glycemic control, many factors are known to affect the results of</w:t>
      </w:r>
      <w:r w:rsidR="00145E3B" w:rsidRPr="00AD2010">
        <w:rPr>
          <w:rFonts w:asciiTheme="majorBidi" w:hAnsiTheme="majorBidi" w:cstheme="majorBidi"/>
          <w:sz w:val="20"/>
          <w:szCs w:val="20"/>
          <w:lang w:bidi="ar-IQ"/>
        </w:rPr>
        <w:t xml:space="preserve"> the</w:t>
      </w:r>
      <w:r w:rsidRPr="00AD2010">
        <w:rPr>
          <w:rFonts w:asciiTheme="majorBidi" w:hAnsiTheme="majorBidi" w:cstheme="majorBidi"/>
          <w:sz w:val="20"/>
          <w:szCs w:val="20"/>
          <w:lang w:bidi="ar-IQ"/>
        </w:rPr>
        <w:t xml:space="preserve"> HbA1c test and make it reflects a false image of the glycemic control. One of these factors is hypertriglyceridemia</w:t>
      </w:r>
      <w:r w:rsidRPr="00AD2010">
        <w:rPr>
          <w:rFonts w:asciiTheme="majorBidi" w:hAnsiTheme="majorBidi" w:cstheme="majorBidi"/>
          <w:sz w:val="20"/>
          <w:szCs w:val="20"/>
        </w:rPr>
        <w:t>.</w:t>
      </w:r>
    </w:p>
    <w:p w14:paraId="33D3F3FC" w14:textId="5B530DD0" w:rsidR="00E23E5F" w:rsidRPr="00AD2010" w:rsidRDefault="007F3FC2" w:rsidP="00396FBD">
      <w:pPr>
        <w:bidi w:val="0"/>
        <w:spacing w:after="0"/>
        <w:ind w:right="51"/>
        <w:jc w:val="both"/>
        <w:rPr>
          <w:rFonts w:asciiTheme="majorBidi" w:hAnsiTheme="majorBidi" w:cstheme="majorBidi"/>
          <w:sz w:val="20"/>
          <w:szCs w:val="20"/>
          <w:lang w:val="en-GB" w:bidi="ar-IQ"/>
        </w:rPr>
      </w:pPr>
      <w:r w:rsidRPr="00AD2010">
        <w:rPr>
          <w:rFonts w:asciiTheme="majorBidi" w:hAnsiTheme="majorBidi" w:cstheme="majorBidi"/>
          <w:b/>
          <w:bCs/>
          <w:color w:val="000000"/>
          <w:sz w:val="20"/>
          <w:szCs w:val="20"/>
        </w:rPr>
        <w:t>Objectives</w:t>
      </w:r>
      <w:r w:rsidR="00C82B22" w:rsidRPr="00AD2010">
        <w:rPr>
          <w:rFonts w:asciiTheme="majorBidi" w:hAnsiTheme="majorBidi" w:cstheme="majorBidi"/>
          <w:b/>
          <w:bCs/>
          <w:color w:val="000000"/>
          <w:sz w:val="20"/>
          <w:szCs w:val="20"/>
        </w:rPr>
        <w:t>:</w:t>
      </w:r>
      <w:r w:rsidR="00AD2010" w:rsidRPr="00AD2010">
        <w:rPr>
          <w:rFonts w:asciiTheme="majorBidi" w:hAnsiTheme="majorBidi" w:cstheme="majorBidi"/>
          <w:b/>
          <w:bCs/>
          <w:color w:val="000000"/>
          <w:sz w:val="20"/>
          <w:szCs w:val="20"/>
        </w:rPr>
        <w:t xml:space="preserve"> </w:t>
      </w:r>
      <w:bookmarkStart w:id="1" w:name="_Hlk101097720"/>
      <w:r w:rsidR="00AD2010" w:rsidRPr="00AD2010">
        <w:rPr>
          <w:rFonts w:asciiTheme="majorBidi" w:hAnsiTheme="majorBidi" w:cstheme="majorBidi"/>
          <w:color w:val="000000"/>
          <w:sz w:val="20"/>
          <w:szCs w:val="20"/>
        </w:rPr>
        <w:t>t</w:t>
      </w:r>
      <w:r w:rsidR="002F2626" w:rsidRPr="00AD2010">
        <w:rPr>
          <w:rFonts w:asciiTheme="majorBidi" w:hAnsiTheme="majorBidi" w:cstheme="majorBidi"/>
          <w:sz w:val="20"/>
          <w:szCs w:val="20"/>
          <w:lang w:val="en-GB" w:bidi="ar-IQ"/>
        </w:rPr>
        <w:t>he study aims t</w:t>
      </w:r>
      <w:r w:rsidR="00C82B22" w:rsidRPr="00AD2010">
        <w:rPr>
          <w:rFonts w:asciiTheme="majorBidi" w:hAnsiTheme="majorBidi" w:cstheme="majorBidi"/>
          <w:sz w:val="20"/>
          <w:szCs w:val="20"/>
          <w:lang w:val="en-GB" w:bidi="ar-IQ"/>
        </w:rPr>
        <w:t>o assess the impact of severe hypertriglyce</w:t>
      </w:r>
      <w:r w:rsidR="00487C92" w:rsidRPr="00AD2010">
        <w:rPr>
          <w:rFonts w:asciiTheme="majorBidi" w:hAnsiTheme="majorBidi" w:cstheme="majorBidi"/>
          <w:sz w:val="20"/>
          <w:szCs w:val="20"/>
          <w:lang w:val="en-GB" w:bidi="ar-IQ"/>
        </w:rPr>
        <w:t>ridemia (TG ≥ 1000 mg/dl) on</w:t>
      </w:r>
      <w:r w:rsidR="00C82B22" w:rsidRPr="00AD2010">
        <w:rPr>
          <w:rFonts w:asciiTheme="majorBidi" w:hAnsiTheme="majorBidi" w:cstheme="majorBidi"/>
          <w:sz w:val="20"/>
          <w:szCs w:val="20"/>
          <w:lang w:val="en-GB" w:bidi="ar-IQ"/>
        </w:rPr>
        <w:t xml:space="preserve"> HbA1c test results in type 2 diabetes mellitus.</w:t>
      </w:r>
    </w:p>
    <w:bookmarkEnd w:id="1"/>
    <w:p w14:paraId="4CBC12B6" w14:textId="3973D409" w:rsidR="00E23E5F" w:rsidRPr="00AD2010" w:rsidRDefault="007F3FC2" w:rsidP="00396FBD">
      <w:pPr>
        <w:bidi w:val="0"/>
        <w:spacing w:after="0"/>
        <w:ind w:right="51"/>
        <w:jc w:val="both"/>
        <w:rPr>
          <w:rFonts w:asciiTheme="majorBidi" w:hAnsiTheme="majorBidi" w:cstheme="majorBidi"/>
          <w:sz w:val="20"/>
          <w:szCs w:val="20"/>
          <w:lang w:bidi="ar-IQ"/>
        </w:rPr>
      </w:pPr>
      <w:r w:rsidRPr="00AD2010">
        <w:rPr>
          <w:rFonts w:asciiTheme="majorBidi" w:hAnsiTheme="majorBidi" w:cstheme="majorBidi"/>
          <w:b/>
          <w:bCs/>
          <w:sz w:val="20"/>
          <w:szCs w:val="20"/>
          <w:lang w:bidi="ar-IQ"/>
        </w:rPr>
        <w:t>Method</w:t>
      </w:r>
      <w:r w:rsidR="00C82B22" w:rsidRPr="00AD2010">
        <w:rPr>
          <w:rFonts w:asciiTheme="majorBidi" w:hAnsiTheme="majorBidi" w:cstheme="majorBidi"/>
          <w:b/>
          <w:bCs/>
          <w:sz w:val="20"/>
          <w:szCs w:val="20"/>
          <w:lang w:bidi="ar-IQ"/>
        </w:rPr>
        <w:t>:</w:t>
      </w:r>
      <w:r w:rsidR="00AD2010" w:rsidRPr="00AD2010">
        <w:rPr>
          <w:rFonts w:asciiTheme="majorBidi" w:hAnsiTheme="majorBidi" w:cstheme="majorBidi"/>
          <w:b/>
          <w:bCs/>
          <w:sz w:val="20"/>
          <w:szCs w:val="20"/>
          <w:lang w:bidi="ar-IQ"/>
        </w:rPr>
        <w:t xml:space="preserve"> </w:t>
      </w:r>
      <w:r w:rsidR="00AD2010" w:rsidRPr="00AD2010">
        <w:rPr>
          <w:rFonts w:asciiTheme="majorBidi" w:hAnsiTheme="majorBidi" w:cstheme="majorBidi"/>
          <w:sz w:val="20"/>
          <w:szCs w:val="20"/>
          <w:lang w:bidi="ar-IQ"/>
        </w:rPr>
        <w:t>a</w:t>
      </w:r>
      <w:r w:rsidR="00ED0A8D" w:rsidRPr="00AD2010">
        <w:rPr>
          <w:rFonts w:asciiTheme="majorBidi" w:hAnsiTheme="majorBidi" w:cstheme="majorBidi"/>
          <w:sz w:val="20"/>
          <w:szCs w:val="20"/>
          <w:lang w:bidi="ar-IQ"/>
        </w:rPr>
        <w:t xml:space="preserve"> retrospective </w:t>
      </w:r>
      <w:r w:rsidR="00C82B22" w:rsidRPr="00AD2010">
        <w:rPr>
          <w:rFonts w:asciiTheme="majorBidi" w:hAnsiTheme="majorBidi" w:cstheme="majorBidi"/>
          <w:sz w:val="20"/>
          <w:szCs w:val="20"/>
          <w:lang w:bidi="ar-IQ"/>
        </w:rPr>
        <w:t>study on two groups of adult patients with type 2 DM;</w:t>
      </w:r>
      <w:r w:rsidRPr="00AD2010">
        <w:rPr>
          <w:rFonts w:asciiTheme="majorBidi" w:hAnsiTheme="majorBidi" w:cstheme="majorBidi"/>
          <w:sz w:val="20"/>
          <w:szCs w:val="20"/>
          <w:lang w:bidi="ar-IQ"/>
        </w:rPr>
        <w:t xml:space="preserve"> </w:t>
      </w:r>
      <w:r w:rsidR="00C82B22" w:rsidRPr="00AD2010">
        <w:rPr>
          <w:rFonts w:asciiTheme="majorBidi" w:hAnsiTheme="majorBidi" w:cstheme="majorBidi"/>
          <w:sz w:val="20"/>
          <w:szCs w:val="20"/>
          <w:lang w:bidi="ar-IQ"/>
        </w:rPr>
        <w:t xml:space="preserve">were implemented in </w:t>
      </w:r>
      <w:proofErr w:type="spellStart"/>
      <w:r w:rsidR="00C82B22" w:rsidRPr="00AD2010">
        <w:rPr>
          <w:rFonts w:asciiTheme="majorBidi" w:hAnsiTheme="majorBidi" w:cstheme="majorBidi"/>
          <w:sz w:val="20"/>
          <w:szCs w:val="20"/>
          <w:lang w:bidi="ar-IQ"/>
        </w:rPr>
        <w:t>Faiha</w:t>
      </w:r>
      <w:proofErr w:type="spellEnd"/>
      <w:r w:rsidR="00C82B22" w:rsidRPr="00AD2010">
        <w:rPr>
          <w:rFonts w:asciiTheme="majorBidi" w:hAnsiTheme="majorBidi" w:cstheme="majorBidi"/>
          <w:sz w:val="20"/>
          <w:szCs w:val="20"/>
          <w:lang w:bidi="ar-IQ"/>
        </w:rPr>
        <w:t xml:space="preserve"> Diabetes, Endocrine and Metabolis</w:t>
      </w:r>
      <w:r w:rsidR="005208D3" w:rsidRPr="00AD2010">
        <w:rPr>
          <w:rFonts w:asciiTheme="majorBidi" w:hAnsiTheme="majorBidi" w:cstheme="majorBidi"/>
          <w:sz w:val="20"/>
          <w:szCs w:val="20"/>
          <w:lang w:bidi="ar-IQ"/>
        </w:rPr>
        <w:t xml:space="preserve">m Centre (FDEMC) in Basrah–Iraq. </w:t>
      </w:r>
      <w:r w:rsidR="00C82B22" w:rsidRPr="00AD2010">
        <w:rPr>
          <w:rFonts w:asciiTheme="majorBidi" w:hAnsiTheme="majorBidi" w:cstheme="majorBidi"/>
          <w:sz w:val="20"/>
          <w:szCs w:val="20"/>
          <w:lang w:bidi="ar-IQ"/>
        </w:rPr>
        <w:t>A total of 267 patients with type 2 DM and severe hypertriglyceridemia and a total of 313 patients with type 2 DM and normal tri</w:t>
      </w:r>
      <w:r w:rsidR="005208D3" w:rsidRPr="00AD2010">
        <w:rPr>
          <w:rFonts w:asciiTheme="majorBidi" w:hAnsiTheme="majorBidi" w:cstheme="majorBidi"/>
          <w:sz w:val="20"/>
          <w:szCs w:val="20"/>
          <w:lang w:bidi="ar-IQ"/>
        </w:rPr>
        <w:t>glycerides levels were included</w:t>
      </w:r>
      <w:r w:rsidR="00C82B22" w:rsidRPr="00AD2010">
        <w:rPr>
          <w:rFonts w:asciiTheme="majorBidi" w:hAnsiTheme="majorBidi" w:cstheme="majorBidi"/>
          <w:sz w:val="20"/>
          <w:szCs w:val="20"/>
          <w:lang w:bidi="ar-IQ"/>
        </w:rPr>
        <w:t>. Then the mean HbA1c of the patients with severe hypertriglyceridemia was measured in each FBS range and compared to the mean HbA1c of the patients with normal triglycerides levels in the same FBS range to determine the impact of severe hypertriglyceridemia on the readings of HbA1c in the diabetic patients</w:t>
      </w:r>
      <w:r w:rsidRPr="00AD2010">
        <w:rPr>
          <w:rFonts w:asciiTheme="majorBidi" w:hAnsiTheme="majorBidi" w:cstheme="majorBidi"/>
          <w:sz w:val="20"/>
          <w:szCs w:val="20"/>
          <w:lang w:bidi="ar-IQ"/>
        </w:rPr>
        <w:t>.</w:t>
      </w:r>
    </w:p>
    <w:p w14:paraId="19846E79" w14:textId="1697F1C7" w:rsidR="00E22039" w:rsidRPr="00AD2010" w:rsidRDefault="00C82B22" w:rsidP="00396FBD">
      <w:pPr>
        <w:bidi w:val="0"/>
        <w:spacing w:after="0"/>
        <w:ind w:right="51"/>
        <w:jc w:val="both"/>
        <w:rPr>
          <w:rFonts w:asciiTheme="majorBidi" w:hAnsiTheme="majorBidi" w:cstheme="majorBidi"/>
          <w:sz w:val="20"/>
          <w:szCs w:val="20"/>
          <w:lang w:bidi="ar-IQ"/>
        </w:rPr>
      </w:pPr>
      <w:r w:rsidRPr="00AD2010">
        <w:rPr>
          <w:rFonts w:asciiTheme="majorBidi" w:hAnsiTheme="majorBidi" w:cstheme="majorBidi"/>
          <w:b/>
          <w:bCs/>
          <w:sz w:val="20"/>
          <w:szCs w:val="20"/>
          <w:lang w:bidi="ar-IQ"/>
        </w:rPr>
        <w:t>Results:</w:t>
      </w:r>
      <w:r w:rsidR="00AD2010" w:rsidRPr="00AD2010">
        <w:rPr>
          <w:rFonts w:asciiTheme="majorBidi" w:hAnsiTheme="majorBidi" w:cstheme="majorBidi"/>
          <w:b/>
          <w:bCs/>
          <w:sz w:val="20"/>
          <w:szCs w:val="20"/>
          <w:lang w:bidi="ar-IQ"/>
        </w:rPr>
        <w:t xml:space="preserve"> t</w:t>
      </w:r>
      <w:r w:rsidR="00B00F99" w:rsidRPr="00AD2010">
        <w:rPr>
          <w:rFonts w:asciiTheme="majorBidi" w:hAnsiTheme="majorBidi" w:cstheme="majorBidi"/>
          <w:sz w:val="20"/>
          <w:szCs w:val="20"/>
          <w:lang w:bidi="ar-IQ"/>
        </w:rPr>
        <w:t xml:space="preserve">he mean HbA1c in both groups </w:t>
      </w:r>
      <w:r w:rsidR="002F2626" w:rsidRPr="00AD2010">
        <w:rPr>
          <w:rFonts w:asciiTheme="majorBidi" w:hAnsiTheme="majorBidi" w:cstheme="majorBidi"/>
          <w:sz w:val="20"/>
          <w:szCs w:val="20"/>
          <w:lang w:bidi="ar-IQ"/>
        </w:rPr>
        <w:t>was</w:t>
      </w:r>
      <w:r w:rsidRPr="00AD2010">
        <w:rPr>
          <w:rFonts w:asciiTheme="majorBidi" w:hAnsiTheme="majorBidi" w:cstheme="majorBidi"/>
          <w:sz w:val="20"/>
          <w:szCs w:val="20"/>
          <w:lang w:bidi="ar-IQ"/>
        </w:rPr>
        <w:t xml:space="preserve"> compared in each FBS range and revealed that despite </w:t>
      </w:r>
      <w:r w:rsidR="002F2626" w:rsidRPr="00AD2010">
        <w:rPr>
          <w:rFonts w:asciiTheme="majorBidi" w:hAnsiTheme="majorBidi" w:cstheme="majorBidi"/>
          <w:sz w:val="20"/>
          <w:szCs w:val="20"/>
          <w:lang w:bidi="ar-IQ"/>
        </w:rPr>
        <w:t xml:space="preserve">of recording </w:t>
      </w:r>
      <w:r w:rsidRPr="00AD2010">
        <w:rPr>
          <w:rFonts w:asciiTheme="majorBidi" w:hAnsiTheme="majorBidi" w:cstheme="majorBidi"/>
          <w:sz w:val="20"/>
          <w:szCs w:val="20"/>
          <w:lang w:bidi="ar-IQ"/>
        </w:rPr>
        <w:t>nearly the same mean FBS, HbA1c was higher in patients with severe hypertriglyceridemia by 1.33% in the FBS range 130-149 mg/dl with a statistically significant p-value = 0.003. While it was lower in the FBS range 200-229 mg/dl, 230-259 mg/dl, 260-299 mg/dl, 300-349 mg/dl and 350-399 mg/dl by 1.02%, 0.85%, 1.77%, 2.29% and 2.23%</w:t>
      </w:r>
      <w:r w:rsidR="002F2626" w:rsidRPr="00AD2010">
        <w:rPr>
          <w:rFonts w:asciiTheme="majorBidi" w:hAnsiTheme="majorBidi" w:cstheme="majorBidi"/>
          <w:sz w:val="20"/>
          <w:szCs w:val="20"/>
          <w:lang w:bidi="ar-IQ"/>
        </w:rPr>
        <w:t>,</w:t>
      </w:r>
      <w:r w:rsidRPr="00AD2010">
        <w:rPr>
          <w:rFonts w:asciiTheme="majorBidi" w:hAnsiTheme="majorBidi" w:cstheme="majorBidi"/>
          <w:sz w:val="20"/>
          <w:szCs w:val="20"/>
          <w:lang w:bidi="ar-IQ"/>
        </w:rPr>
        <w:t xml:space="preserve"> respectively with a statistically significant p-value </w:t>
      </w:r>
      <w:r w:rsidR="002F2626" w:rsidRPr="00AD2010">
        <w:rPr>
          <w:rFonts w:asciiTheme="majorBidi" w:hAnsiTheme="majorBidi" w:cstheme="majorBidi"/>
          <w:sz w:val="20"/>
          <w:szCs w:val="20"/>
          <w:lang w:bidi="ar-IQ"/>
        </w:rPr>
        <w:t>that equal</w:t>
      </w:r>
      <w:r w:rsidRPr="00AD2010">
        <w:rPr>
          <w:rFonts w:asciiTheme="majorBidi" w:hAnsiTheme="majorBidi" w:cstheme="majorBidi"/>
          <w:sz w:val="20"/>
          <w:szCs w:val="20"/>
          <w:lang w:bidi="ar-IQ"/>
        </w:rPr>
        <w:t xml:space="preserve"> to </w:t>
      </w:r>
      <w:r w:rsidRPr="00AD2010">
        <w:rPr>
          <w:rFonts w:asciiTheme="majorBidi" w:hAnsiTheme="majorBidi" w:cstheme="majorBidi"/>
          <w:sz w:val="20"/>
          <w:szCs w:val="20"/>
        </w:rPr>
        <w:t xml:space="preserve">0.005, </w:t>
      </w:r>
      <w:r w:rsidRPr="00AD2010">
        <w:rPr>
          <w:rFonts w:asciiTheme="majorBidi" w:hAnsiTheme="majorBidi" w:cstheme="majorBidi"/>
          <w:sz w:val="20"/>
          <w:szCs w:val="20"/>
          <w:lang w:bidi="ar-IQ"/>
        </w:rPr>
        <w:t>0.034</w:t>
      </w:r>
      <w:r w:rsidRPr="00AD2010">
        <w:rPr>
          <w:rFonts w:asciiTheme="majorBidi" w:hAnsiTheme="majorBidi" w:cstheme="majorBidi"/>
          <w:sz w:val="20"/>
          <w:szCs w:val="20"/>
        </w:rPr>
        <w:t xml:space="preserve">, </w:t>
      </w:r>
      <w:r w:rsidRPr="00AD2010">
        <w:rPr>
          <w:rFonts w:asciiTheme="majorBidi" w:hAnsiTheme="majorBidi" w:cstheme="majorBidi"/>
          <w:sz w:val="20"/>
          <w:szCs w:val="20"/>
          <w:lang w:bidi="ar-IQ"/>
        </w:rPr>
        <w:t>&lt; 0.001</w:t>
      </w:r>
      <w:r w:rsidRPr="00AD2010">
        <w:rPr>
          <w:rFonts w:asciiTheme="majorBidi" w:hAnsiTheme="majorBidi" w:cstheme="majorBidi"/>
          <w:sz w:val="20"/>
          <w:szCs w:val="20"/>
        </w:rPr>
        <w:t xml:space="preserve">, </w:t>
      </w:r>
      <w:r w:rsidRPr="00AD2010">
        <w:rPr>
          <w:rFonts w:asciiTheme="majorBidi" w:hAnsiTheme="majorBidi" w:cstheme="majorBidi"/>
          <w:sz w:val="20"/>
          <w:szCs w:val="20"/>
          <w:lang w:bidi="ar-IQ"/>
        </w:rPr>
        <w:t>&lt; 0.001</w:t>
      </w:r>
      <w:r w:rsidRPr="00AD2010">
        <w:rPr>
          <w:rFonts w:asciiTheme="majorBidi" w:hAnsiTheme="majorBidi" w:cstheme="majorBidi"/>
          <w:sz w:val="20"/>
          <w:szCs w:val="20"/>
        </w:rPr>
        <w:t xml:space="preserve"> and </w:t>
      </w:r>
      <w:r w:rsidRPr="00AD2010">
        <w:rPr>
          <w:rFonts w:asciiTheme="majorBidi" w:hAnsiTheme="majorBidi" w:cstheme="majorBidi"/>
          <w:sz w:val="20"/>
          <w:szCs w:val="20"/>
          <w:lang w:bidi="ar-IQ"/>
        </w:rPr>
        <w:t>0.039</w:t>
      </w:r>
      <w:r w:rsidR="002F2626" w:rsidRPr="00AD2010">
        <w:rPr>
          <w:rFonts w:asciiTheme="majorBidi" w:hAnsiTheme="majorBidi" w:cstheme="majorBidi"/>
          <w:sz w:val="20"/>
          <w:szCs w:val="20"/>
          <w:lang w:bidi="ar-IQ"/>
        </w:rPr>
        <w:t>,</w:t>
      </w:r>
      <w:r w:rsidRPr="00AD2010">
        <w:rPr>
          <w:rFonts w:asciiTheme="majorBidi" w:hAnsiTheme="majorBidi" w:cstheme="majorBidi"/>
          <w:sz w:val="20"/>
          <w:szCs w:val="20"/>
        </w:rPr>
        <w:t xml:space="preserve"> respectively.</w:t>
      </w:r>
      <w:r w:rsidRPr="00AD2010">
        <w:rPr>
          <w:rFonts w:asciiTheme="majorBidi" w:hAnsiTheme="majorBidi" w:cstheme="majorBidi"/>
          <w:sz w:val="20"/>
          <w:szCs w:val="20"/>
          <w:lang w:bidi="ar-IQ"/>
        </w:rPr>
        <w:t xml:space="preserve"> </w:t>
      </w:r>
    </w:p>
    <w:p w14:paraId="4CF17E9D" w14:textId="7777164E" w:rsidR="00E22039" w:rsidRPr="00AD2010" w:rsidRDefault="00C82B22" w:rsidP="00396FBD">
      <w:pPr>
        <w:bidi w:val="0"/>
        <w:spacing w:after="0"/>
        <w:ind w:right="51"/>
        <w:jc w:val="both"/>
        <w:rPr>
          <w:rFonts w:asciiTheme="majorBidi" w:hAnsiTheme="majorBidi" w:cstheme="majorBidi"/>
          <w:b/>
          <w:bCs/>
          <w:sz w:val="20"/>
          <w:szCs w:val="20"/>
          <w:lang w:bidi="ar-IQ"/>
        </w:rPr>
      </w:pPr>
      <w:r w:rsidRPr="00AD2010">
        <w:rPr>
          <w:rFonts w:asciiTheme="majorBidi" w:hAnsiTheme="majorBidi" w:cstheme="majorBidi"/>
          <w:b/>
          <w:bCs/>
          <w:sz w:val="20"/>
          <w:szCs w:val="20"/>
          <w:lang w:bidi="ar-IQ"/>
        </w:rPr>
        <w:t>Conclusion:</w:t>
      </w:r>
      <w:r w:rsidR="00AD2010" w:rsidRPr="00AD2010">
        <w:rPr>
          <w:rFonts w:asciiTheme="majorBidi" w:hAnsiTheme="majorBidi" w:cstheme="majorBidi"/>
          <w:b/>
          <w:bCs/>
          <w:sz w:val="20"/>
          <w:szCs w:val="20"/>
          <w:lang w:bidi="ar-IQ"/>
        </w:rPr>
        <w:t xml:space="preserve"> t</w:t>
      </w:r>
      <w:r w:rsidRPr="00AD2010">
        <w:rPr>
          <w:rFonts w:asciiTheme="majorBidi" w:hAnsiTheme="majorBidi" w:cstheme="majorBidi"/>
          <w:sz w:val="20"/>
          <w:szCs w:val="20"/>
          <w:lang w:bidi="ar-IQ"/>
        </w:rPr>
        <w:t xml:space="preserve">his study </w:t>
      </w:r>
      <w:proofErr w:type="gramStart"/>
      <w:r w:rsidRPr="00AD2010">
        <w:rPr>
          <w:rFonts w:asciiTheme="majorBidi" w:hAnsiTheme="majorBidi" w:cstheme="majorBidi"/>
          <w:sz w:val="20"/>
          <w:szCs w:val="20"/>
          <w:lang w:bidi="ar-IQ"/>
        </w:rPr>
        <w:t>reveal</w:t>
      </w:r>
      <w:proofErr w:type="gramEnd"/>
      <w:r w:rsidR="00145E3B" w:rsidRPr="00AD2010">
        <w:rPr>
          <w:rFonts w:asciiTheme="majorBidi" w:hAnsiTheme="majorBidi" w:cstheme="majorBidi"/>
          <w:sz w:val="20"/>
          <w:szCs w:val="20"/>
          <w:lang w:bidi="ar-IQ"/>
        </w:rPr>
        <w:t xml:space="preserve"> that </w:t>
      </w:r>
      <w:r w:rsidR="00F4717F" w:rsidRPr="00AD2010">
        <w:rPr>
          <w:rFonts w:asciiTheme="majorBidi" w:hAnsiTheme="majorBidi" w:cstheme="majorBidi"/>
          <w:sz w:val="20"/>
          <w:szCs w:val="20"/>
          <w:lang w:bidi="ar-IQ"/>
        </w:rPr>
        <w:t>severe hypertriglyceridemia has a significant impact on HbA1c test results. The</w:t>
      </w:r>
      <w:r w:rsidR="00145E3B" w:rsidRPr="00AD2010">
        <w:rPr>
          <w:rFonts w:asciiTheme="majorBidi" w:hAnsiTheme="majorBidi" w:cstheme="majorBidi"/>
          <w:sz w:val="20"/>
          <w:szCs w:val="20"/>
          <w:lang w:bidi="ar-IQ"/>
        </w:rPr>
        <w:t xml:space="preserve"> HbA1c values in </w:t>
      </w:r>
      <w:r w:rsidRPr="00AD2010">
        <w:rPr>
          <w:rFonts w:asciiTheme="majorBidi" w:hAnsiTheme="majorBidi" w:cstheme="majorBidi"/>
          <w:sz w:val="20"/>
          <w:szCs w:val="20"/>
          <w:lang w:bidi="ar-IQ"/>
        </w:rPr>
        <w:t>diabetic patients</w:t>
      </w:r>
      <w:r w:rsidR="007F3FC2" w:rsidRPr="00AD2010">
        <w:rPr>
          <w:rFonts w:asciiTheme="majorBidi" w:hAnsiTheme="majorBidi" w:cstheme="majorBidi"/>
          <w:sz w:val="20"/>
          <w:szCs w:val="20"/>
          <w:lang w:bidi="ar-IQ"/>
        </w:rPr>
        <w:t xml:space="preserve"> </w:t>
      </w:r>
      <w:r w:rsidRPr="00AD2010">
        <w:rPr>
          <w:rFonts w:asciiTheme="majorBidi" w:hAnsiTheme="majorBidi" w:cstheme="majorBidi"/>
          <w:sz w:val="20"/>
          <w:szCs w:val="20"/>
          <w:lang w:bidi="ar-IQ"/>
        </w:rPr>
        <w:t xml:space="preserve">with severe hypertriglyceridemia are unpredictable. </w:t>
      </w:r>
    </w:p>
    <w:p w14:paraId="0C6D4558" w14:textId="65F20243" w:rsidR="00E23E5F" w:rsidRDefault="00C82B22" w:rsidP="00396FBD">
      <w:pPr>
        <w:tabs>
          <w:tab w:val="right" w:pos="90"/>
        </w:tabs>
        <w:bidi w:val="0"/>
        <w:spacing w:after="0"/>
        <w:ind w:right="51"/>
        <w:rPr>
          <w:rFonts w:asciiTheme="majorBidi" w:hAnsiTheme="majorBidi" w:cstheme="majorBidi"/>
          <w:sz w:val="20"/>
          <w:szCs w:val="20"/>
          <w:lang w:bidi="ar-IQ"/>
        </w:rPr>
      </w:pPr>
      <w:r w:rsidRPr="00AD2010">
        <w:rPr>
          <w:rFonts w:asciiTheme="majorBidi" w:hAnsiTheme="majorBidi" w:cstheme="majorBidi"/>
          <w:b/>
          <w:bCs/>
          <w:sz w:val="20"/>
          <w:szCs w:val="20"/>
          <w:lang w:bidi="ar-IQ"/>
        </w:rPr>
        <w:t xml:space="preserve">Keywords: </w:t>
      </w:r>
      <w:r w:rsidR="00EF3AC9" w:rsidRPr="00AD2010">
        <w:rPr>
          <w:rFonts w:asciiTheme="majorBidi" w:hAnsiTheme="majorBidi" w:cstheme="majorBidi"/>
          <w:sz w:val="20"/>
          <w:szCs w:val="20"/>
          <w:lang w:bidi="ar-IQ"/>
        </w:rPr>
        <w:t>HbA1c</w:t>
      </w:r>
      <w:r w:rsidRPr="00AD2010">
        <w:rPr>
          <w:rFonts w:asciiTheme="majorBidi" w:hAnsiTheme="majorBidi" w:cstheme="majorBidi"/>
          <w:sz w:val="20"/>
          <w:szCs w:val="20"/>
          <w:lang w:bidi="ar-IQ"/>
        </w:rPr>
        <w:t xml:space="preserve"> test, type 2 DM, severe hypertriglyceridemia.</w:t>
      </w:r>
    </w:p>
    <w:p w14:paraId="119E3A32" w14:textId="77777777" w:rsidR="00234FCD" w:rsidRDefault="00234FCD" w:rsidP="00234FCD">
      <w:pPr>
        <w:tabs>
          <w:tab w:val="right" w:pos="90"/>
        </w:tabs>
        <w:bidi w:val="0"/>
        <w:spacing w:after="0"/>
        <w:ind w:right="51"/>
        <w:rPr>
          <w:rFonts w:asciiTheme="majorBidi" w:hAnsiTheme="majorBidi" w:cstheme="majorBidi"/>
          <w:sz w:val="20"/>
          <w:szCs w:val="20"/>
          <w:lang w:bidi="ar-IQ"/>
        </w:rPr>
      </w:pPr>
    </w:p>
    <w:p w14:paraId="1F10790E" w14:textId="28098E20" w:rsidR="0010204D" w:rsidRDefault="0010204D" w:rsidP="0010204D">
      <w:pPr>
        <w:tabs>
          <w:tab w:val="right" w:pos="90"/>
        </w:tabs>
        <w:bidi w:val="0"/>
        <w:spacing w:after="0"/>
        <w:ind w:right="51"/>
        <w:rPr>
          <w:rFonts w:asciiTheme="majorBidi" w:hAnsiTheme="majorBidi" w:cstheme="majorBidi"/>
          <w:sz w:val="20"/>
          <w:szCs w:val="20"/>
          <w:lang w:bidi="ar-IQ"/>
        </w:rPr>
        <w:sectPr w:rsidR="0010204D" w:rsidSect="00044E56">
          <w:type w:val="continuous"/>
          <w:pgSz w:w="12242" w:h="15842" w:code="1"/>
          <w:pgMar w:top="1134" w:right="1134" w:bottom="1134" w:left="1134" w:header="1134" w:footer="567" w:gutter="0"/>
          <w:pgNumType w:start="1"/>
          <w:cols w:space="567"/>
          <w:docGrid w:linePitch="360"/>
        </w:sectPr>
      </w:pPr>
    </w:p>
    <w:p w14:paraId="5DADE607" w14:textId="77777777" w:rsidR="00234FCD" w:rsidRPr="0010204D" w:rsidRDefault="00AD2010" w:rsidP="00234FCD">
      <w:pPr>
        <w:pBdr>
          <w:top w:val="single" w:sz="18" w:space="1" w:color="auto"/>
        </w:pBdr>
        <w:bidi w:val="0"/>
        <w:spacing w:line="240" w:lineRule="auto"/>
        <w:jc w:val="both"/>
        <w:rPr>
          <w:rFonts w:asciiTheme="majorBidi" w:hAnsiTheme="majorBidi" w:cstheme="majorBidi"/>
          <w:b/>
          <w:bCs/>
          <w:sz w:val="20"/>
          <w:szCs w:val="20"/>
          <w:lang w:bidi="ar-IQ"/>
        </w:rPr>
      </w:pPr>
      <w:r w:rsidRPr="00234FCD">
        <w:rPr>
          <w:rFonts w:cstheme="minorHAnsi"/>
          <w:b/>
          <w:w w:val="95"/>
          <w:sz w:val="20"/>
          <w:szCs w:val="20"/>
        </w:rPr>
        <w:t>Corresponding</w:t>
      </w:r>
      <w:r w:rsidRPr="00234FCD">
        <w:rPr>
          <w:rFonts w:cstheme="minorHAnsi"/>
          <w:b/>
          <w:spacing w:val="-12"/>
          <w:w w:val="95"/>
          <w:sz w:val="20"/>
          <w:szCs w:val="20"/>
        </w:rPr>
        <w:t xml:space="preserve"> </w:t>
      </w:r>
      <w:r w:rsidRPr="00234FCD">
        <w:rPr>
          <w:rFonts w:cstheme="minorHAnsi"/>
          <w:b/>
          <w:w w:val="95"/>
          <w:sz w:val="20"/>
          <w:szCs w:val="20"/>
        </w:rPr>
        <w:t>author</w:t>
      </w:r>
      <w:r w:rsidRPr="00234FCD">
        <w:rPr>
          <w:rFonts w:cstheme="minorHAnsi"/>
          <w:bCs/>
          <w:w w:val="95"/>
          <w:sz w:val="20"/>
          <w:szCs w:val="20"/>
        </w:rPr>
        <w:t>:</w:t>
      </w:r>
      <w:r w:rsidRPr="00234FCD">
        <w:rPr>
          <w:rFonts w:eastAsia="Calibri" w:cstheme="minorHAnsi"/>
          <w:bCs/>
          <w:sz w:val="20"/>
          <w:szCs w:val="20"/>
        </w:rPr>
        <w:t xml:space="preserve"> </w:t>
      </w:r>
      <w:r w:rsidR="00AA142F" w:rsidRPr="00234FCD">
        <w:rPr>
          <w:rFonts w:eastAsia="Times New Roman" w:cstheme="minorHAnsi"/>
          <w:b/>
          <w:bCs/>
          <w:lang w:bidi="ar-IQ"/>
        </w:rPr>
        <w:t xml:space="preserve">Ali I. Salim, </w:t>
      </w:r>
      <w:r w:rsidR="00AA142F" w:rsidRPr="00234FCD">
        <w:rPr>
          <w:rFonts w:asciiTheme="majorBidi" w:hAnsiTheme="majorBidi" w:cstheme="majorBidi"/>
          <w:b/>
          <w:bCs/>
          <w:sz w:val="20"/>
          <w:szCs w:val="20"/>
          <w:lang w:bidi="ar-IQ"/>
        </w:rPr>
        <w:t>MBChB.</w:t>
      </w:r>
      <w:r w:rsidR="00234FCD" w:rsidRPr="00234FCD">
        <w:rPr>
          <w:rFonts w:asciiTheme="majorBidi" w:hAnsiTheme="majorBidi" w:cstheme="majorBidi"/>
          <w:b/>
          <w:bCs/>
          <w:sz w:val="20"/>
          <w:szCs w:val="20"/>
          <w:lang w:bidi="ar-IQ"/>
        </w:rPr>
        <w:t xml:space="preserve">, </w:t>
      </w:r>
      <w:proofErr w:type="spellStart"/>
      <w:r w:rsidR="00234FCD" w:rsidRPr="0010204D">
        <w:rPr>
          <w:rFonts w:asciiTheme="majorBidi" w:eastAsia="Times New Roman" w:hAnsiTheme="majorBidi" w:cstheme="majorBidi"/>
          <w:b/>
          <w:bCs/>
          <w:sz w:val="20"/>
          <w:szCs w:val="20"/>
        </w:rPr>
        <w:t>Fayhaa</w:t>
      </w:r>
      <w:proofErr w:type="spellEnd"/>
      <w:r w:rsidR="00234FCD" w:rsidRPr="0010204D">
        <w:rPr>
          <w:rFonts w:asciiTheme="majorBidi" w:eastAsia="Times New Roman" w:hAnsiTheme="majorBidi" w:cstheme="majorBidi"/>
          <w:b/>
          <w:bCs/>
          <w:sz w:val="20"/>
          <w:szCs w:val="20"/>
        </w:rPr>
        <w:t xml:space="preserve"> Teaching Hospital, </w:t>
      </w:r>
      <w:proofErr w:type="spellStart"/>
      <w:r w:rsidR="00234FCD" w:rsidRPr="0010204D">
        <w:rPr>
          <w:rFonts w:asciiTheme="majorBidi" w:eastAsia="Times New Roman" w:hAnsiTheme="majorBidi" w:cstheme="majorBidi"/>
          <w:b/>
          <w:bCs/>
          <w:sz w:val="20"/>
          <w:szCs w:val="20"/>
        </w:rPr>
        <w:t>Basrah</w:t>
      </w:r>
      <w:proofErr w:type="spellEnd"/>
      <w:r w:rsidR="00234FCD" w:rsidRPr="0010204D">
        <w:rPr>
          <w:rFonts w:asciiTheme="majorBidi" w:eastAsia="Times New Roman" w:hAnsiTheme="majorBidi" w:cstheme="majorBidi"/>
          <w:b/>
          <w:bCs/>
          <w:sz w:val="20"/>
          <w:szCs w:val="20"/>
        </w:rPr>
        <w:t>, Iraq</w:t>
      </w:r>
    </w:p>
    <w:p w14:paraId="1089751B" w14:textId="73E65258" w:rsidR="00AD2010" w:rsidRPr="0010204D" w:rsidRDefault="00234FCD" w:rsidP="00234FCD">
      <w:pPr>
        <w:pBdr>
          <w:top w:val="single" w:sz="18" w:space="1" w:color="auto"/>
        </w:pBdr>
        <w:bidi w:val="0"/>
        <w:jc w:val="both"/>
        <w:rPr>
          <w:rFonts w:cstheme="minorHAnsi"/>
          <w:b/>
          <w:bCs/>
        </w:rPr>
      </w:pPr>
      <w:r w:rsidRPr="0010204D">
        <w:rPr>
          <w:rFonts w:asciiTheme="majorBidi" w:hAnsiTheme="majorBidi" w:cstheme="majorBidi"/>
          <w:b/>
          <w:bCs/>
          <w:lang w:bidi="ar-IQ"/>
        </w:rPr>
        <w:t xml:space="preserve"> </w:t>
      </w:r>
      <w:r w:rsidR="00AD2010" w:rsidRPr="0010204D">
        <w:rPr>
          <w:rFonts w:cstheme="minorHAnsi"/>
          <w:b/>
          <w:bCs/>
        </w:rPr>
        <w:sym w:font="Wingdings" w:char="F02A"/>
      </w:r>
      <w:r w:rsidR="00AD2010" w:rsidRPr="0010204D">
        <w:rPr>
          <w:rFonts w:cstheme="minorHAnsi"/>
          <w:b/>
          <w:bCs/>
        </w:rPr>
        <w:t xml:space="preserve"> E-mail: </w:t>
      </w:r>
      <w:r w:rsidR="007031DB" w:rsidRPr="0010204D">
        <w:rPr>
          <w:rFonts w:cstheme="minorHAnsi"/>
          <w:b/>
          <w:bCs/>
        </w:rPr>
        <w:t>aliemadsalim@gmail.com</w:t>
      </w:r>
    </w:p>
    <w:p w14:paraId="6A0C5DDE" w14:textId="382749FC" w:rsidR="00DB20F1" w:rsidRPr="00AA142F" w:rsidRDefault="00C82B22" w:rsidP="00396FBD">
      <w:pPr>
        <w:bidi w:val="0"/>
        <w:spacing w:after="0"/>
        <w:ind w:right="51"/>
        <w:rPr>
          <w:rFonts w:ascii="Arial Black" w:hAnsi="Arial Black" w:cstheme="minorHAnsi"/>
          <w:sz w:val="24"/>
          <w:szCs w:val="24"/>
          <w:lang w:bidi="ar-IQ"/>
        </w:rPr>
      </w:pPr>
      <w:r w:rsidRPr="00AA142F">
        <w:rPr>
          <w:rFonts w:ascii="Arial Black" w:hAnsi="Arial Black" w:cstheme="minorHAnsi"/>
          <w:sz w:val="24"/>
          <w:szCs w:val="24"/>
          <w:lang w:bidi="ar-IQ"/>
        </w:rPr>
        <w:t>Introduction</w:t>
      </w:r>
    </w:p>
    <w:p w14:paraId="13CF4ED3" w14:textId="49CF0EC0" w:rsidR="001B7F24" w:rsidRPr="001B7F24" w:rsidRDefault="001B7F24" w:rsidP="001B7F24">
      <w:pPr>
        <w:keepNext/>
        <w:framePr w:dropCap="drop" w:lines="2" w:hSpace="57" w:wrap="around" w:vAnchor="text" w:hAnchor="text"/>
        <w:bidi w:val="0"/>
        <w:spacing w:after="0" w:line="634" w:lineRule="exact"/>
        <w:jc w:val="both"/>
        <w:textAlignment w:val="baseline"/>
        <w:rPr>
          <w:rFonts w:asciiTheme="majorBidi" w:hAnsiTheme="majorBidi" w:cstheme="majorBidi"/>
          <w:position w:val="-2"/>
          <w:sz w:val="73"/>
          <w:szCs w:val="73"/>
          <w:lang w:bidi="ar-IQ"/>
        </w:rPr>
      </w:pPr>
      <w:r w:rsidRPr="001B7F24">
        <w:rPr>
          <w:rFonts w:asciiTheme="majorBidi" w:hAnsiTheme="majorBidi" w:cstheme="majorBidi"/>
          <w:position w:val="-2"/>
          <w:sz w:val="73"/>
          <w:szCs w:val="73"/>
          <w:lang w:bidi="ar-IQ"/>
        </w:rPr>
        <w:t>G</w:t>
      </w:r>
    </w:p>
    <w:p w14:paraId="7EC7BDC4" w14:textId="3C1697EC" w:rsidR="00A8473F" w:rsidRDefault="00C82B22" w:rsidP="00396FBD">
      <w:pPr>
        <w:bidi w:val="0"/>
        <w:spacing w:after="0"/>
        <w:ind w:right="51"/>
        <w:jc w:val="both"/>
        <w:rPr>
          <w:rFonts w:asciiTheme="majorBidi" w:hAnsiTheme="majorBidi" w:cstheme="majorBidi"/>
          <w:sz w:val="24"/>
          <w:szCs w:val="24"/>
          <w:vertAlign w:val="superscript"/>
        </w:rPr>
      </w:pPr>
      <w:r w:rsidRPr="00413F4E">
        <w:rPr>
          <w:rFonts w:asciiTheme="majorBidi" w:hAnsiTheme="majorBidi" w:cstheme="majorBidi"/>
          <w:sz w:val="24"/>
          <w:szCs w:val="24"/>
          <w:lang w:bidi="ar-IQ"/>
        </w:rPr>
        <w:t>lycosylated hemoglobin (HbA1c) is the percentage of hemoglobin A that has glucose linked to it. While the percentage is</w:t>
      </w:r>
      <w:r w:rsidR="002A6F42" w:rsidRPr="00413F4E">
        <w:rPr>
          <w:rFonts w:asciiTheme="majorBidi" w:hAnsiTheme="majorBidi" w:cstheme="majorBidi"/>
          <w:sz w:val="24"/>
          <w:szCs w:val="24"/>
          <w:lang w:bidi="ar-IQ"/>
        </w:rPr>
        <w:t xml:space="preserve"> generally at a low level, in diabetes mellitus</w:t>
      </w:r>
      <w:r w:rsidRPr="00413F4E">
        <w:rPr>
          <w:rFonts w:asciiTheme="majorBidi" w:hAnsiTheme="majorBidi" w:cstheme="majorBidi"/>
          <w:sz w:val="24"/>
          <w:szCs w:val="24"/>
          <w:lang w:bidi="ar-IQ"/>
        </w:rPr>
        <w:t xml:space="preserve"> the </w:t>
      </w:r>
      <w:r w:rsidRPr="00413F4E">
        <w:rPr>
          <w:rFonts w:asciiTheme="majorBidi" w:hAnsiTheme="majorBidi" w:cstheme="majorBidi"/>
          <w:sz w:val="24"/>
          <w:szCs w:val="24"/>
          <w:lang w:bidi="ar-IQ"/>
        </w:rPr>
        <w:t>increased blood glucose causes greater hemoglobin binding, resulting in a higher HbA1c value</w:t>
      </w:r>
      <w:r w:rsidR="00AD2010">
        <w:rPr>
          <w:rFonts w:asciiTheme="majorBidi" w:hAnsiTheme="majorBidi" w:cstheme="majorBidi"/>
          <w:sz w:val="24"/>
          <w:szCs w:val="24"/>
          <w:lang w:bidi="ar-IQ"/>
        </w:rPr>
        <w:t>.</w:t>
      </w:r>
      <w:r w:rsidR="00AD2010">
        <w:rPr>
          <w:rFonts w:asciiTheme="majorBidi" w:hAnsiTheme="majorBidi" w:cstheme="majorBidi"/>
          <w:sz w:val="24"/>
          <w:szCs w:val="24"/>
          <w:vertAlign w:val="superscript"/>
          <w:lang w:bidi="ar-IQ"/>
        </w:rPr>
        <w:t>1</w:t>
      </w:r>
      <w:r w:rsidRPr="00413F4E">
        <w:rPr>
          <w:rFonts w:asciiTheme="majorBidi" w:hAnsiTheme="majorBidi" w:cstheme="majorBidi"/>
          <w:sz w:val="24"/>
          <w:szCs w:val="24"/>
          <w:lang w:bidi="ar-IQ"/>
        </w:rPr>
        <w:t xml:space="preserve"> Glycosylated hemoglobin (HbA1c</w:t>
      </w:r>
      <w:proofErr w:type="gramStart"/>
      <w:r w:rsidRPr="00413F4E">
        <w:rPr>
          <w:rFonts w:asciiTheme="majorBidi" w:hAnsiTheme="majorBidi" w:cstheme="majorBidi"/>
          <w:sz w:val="24"/>
          <w:szCs w:val="24"/>
          <w:lang w:bidi="ar-IQ"/>
        </w:rPr>
        <w:t>)  has</w:t>
      </w:r>
      <w:proofErr w:type="gramEnd"/>
      <w:r w:rsidRPr="00413F4E">
        <w:rPr>
          <w:rFonts w:asciiTheme="majorBidi" w:hAnsiTheme="majorBidi" w:cstheme="majorBidi"/>
          <w:sz w:val="24"/>
          <w:szCs w:val="24"/>
          <w:lang w:bidi="ar-IQ"/>
        </w:rPr>
        <w:t xml:space="preserve"> long been recognized as a valid and reliable test for diabetes diagnosis and evaluating glycemic control in diabetic patients</w:t>
      </w:r>
      <w:r w:rsidR="00AD2010">
        <w:rPr>
          <w:rFonts w:asciiTheme="majorBidi" w:hAnsiTheme="majorBidi" w:cstheme="majorBidi"/>
          <w:sz w:val="24"/>
          <w:szCs w:val="24"/>
          <w:lang w:bidi="ar-IQ"/>
        </w:rPr>
        <w:t>.</w:t>
      </w:r>
      <w:r w:rsidR="00AD2010">
        <w:rPr>
          <w:rFonts w:asciiTheme="majorBidi" w:hAnsiTheme="majorBidi" w:cstheme="majorBidi"/>
          <w:sz w:val="24"/>
          <w:szCs w:val="24"/>
          <w:vertAlign w:val="superscript"/>
          <w:lang w:bidi="ar-IQ"/>
        </w:rPr>
        <w:t>2</w:t>
      </w:r>
      <w:r w:rsidRPr="00413F4E">
        <w:rPr>
          <w:rFonts w:asciiTheme="majorBidi" w:hAnsiTheme="majorBidi" w:cstheme="majorBidi"/>
          <w:sz w:val="24"/>
          <w:szCs w:val="24"/>
          <w:lang w:bidi="ar-IQ"/>
        </w:rPr>
        <w:t xml:space="preserve"> Its result reflects the mean glucose level during the previous 8 to 12 weeks. It has less pre-analytic and biological </w:t>
      </w:r>
      <w:bookmarkStart w:id="2" w:name="_Hlk138964487"/>
      <w:bookmarkEnd w:id="0"/>
      <w:r w:rsidRPr="00413F4E">
        <w:rPr>
          <w:rFonts w:asciiTheme="majorBidi" w:hAnsiTheme="majorBidi" w:cstheme="majorBidi"/>
          <w:sz w:val="24"/>
          <w:szCs w:val="24"/>
          <w:lang w:bidi="ar-IQ"/>
        </w:rPr>
        <w:t xml:space="preserve">variability than other diabetes diagnostic tests, </w:t>
      </w:r>
      <w:r w:rsidRPr="00413F4E">
        <w:rPr>
          <w:rFonts w:asciiTheme="majorBidi" w:hAnsiTheme="majorBidi" w:cstheme="majorBidi"/>
          <w:sz w:val="24"/>
          <w:szCs w:val="24"/>
          <w:lang w:bidi="ar-IQ"/>
        </w:rPr>
        <w:lastRenderedPageBreak/>
        <w:t>and it is more convenient for patients and doctors because no fasting is needed</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3</w:t>
      </w:r>
      <w:r w:rsidRPr="00413F4E">
        <w:rPr>
          <w:rFonts w:asciiTheme="majorBidi" w:hAnsiTheme="majorBidi" w:cstheme="majorBidi"/>
          <w:sz w:val="24"/>
          <w:szCs w:val="24"/>
          <w:lang w:bidi="ar-IQ"/>
        </w:rPr>
        <w:t xml:space="preserve">As a result, clinical practice guidelines and societies have endorsed </w:t>
      </w:r>
      <w:r w:rsidR="002A6F42" w:rsidRPr="00413F4E">
        <w:rPr>
          <w:rFonts w:asciiTheme="majorBidi" w:hAnsiTheme="majorBidi" w:cstheme="majorBidi"/>
          <w:sz w:val="24"/>
          <w:szCs w:val="24"/>
          <w:lang w:bidi="ar-IQ"/>
        </w:rPr>
        <w:t xml:space="preserve">the </w:t>
      </w:r>
      <w:r w:rsidRPr="00413F4E">
        <w:rPr>
          <w:rFonts w:asciiTheme="majorBidi" w:hAnsiTheme="majorBidi" w:cstheme="majorBidi"/>
          <w:sz w:val="24"/>
          <w:szCs w:val="24"/>
          <w:lang w:bidi="ar-IQ"/>
        </w:rPr>
        <w:t>HbA1c as the standard for determining whether a patient is in or out of the glycemic control range, as well as for guiding treatment decisions regarding adjustments in the treatment regimen</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4</w:t>
      </w:r>
      <w:r w:rsidR="00A26EA2" w:rsidRPr="00413F4E">
        <w:rPr>
          <w:rFonts w:asciiTheme="majorBidi" w:hAnsiTheme="majorBidi" w:cstheme="majorBidi"/>
          <w:sz w:val="24"/>
          <w:szCs w:val="24"/>
          <w:lang w:bidi="ar-IQ"/>
        </w:rPr>
        <w:t xml:space="preserve"> </w:t>
      </w:r>
      <w:r w:rsidRPr="00413F4E">
        <w:rPr>
          <w:rFonts w:asciiTheme="majorBidi" w:hAnsiTheme="majorBidi" w:cstheme="majorBidi"/>
          <w:sz w:val="24"/>
          <w:szCs w:val="24"/>
          <w:lang w:bidi="ar-IQ"/>
        </w:rPr>
        <w:t>However, its reliability is compromised in certain medical situations such as anemia,</w:t>
      </w:r>
      <w:r w:rsidR="002A6F42" w:rsidRPr="00413F4E">
        <w:rPr>
          <w:rFonts w:asciiTheme="majorBidi" w:hAnsiTheme="majorBidi" w:cstheme="majorBidi"/>
          <w:sz w:val="24"/>
          <w:szCs w:val="24"/>
          <w:lang w:bidi="ar-IQ"/>
        </w:rPr>
        <w:t xml:space="preserve"> hemoglobinopathies,</w:t>
      </w:r>
      <w:r w:rsidRPr="00413F4E">
        <w:rPr>
          <w:rFonts w:asciiTheme="majorBidi" w:hAnsiTheme="majorBidi" w:cstheme="majorBidi"/>
          <w:sz w:val="24"/>
          <w:szCs w:val="24"/>
          <w:lang w:bidi="ar-IQ"/>
        </w:rPr>
        <w:t xml:space="preserve"> acute blood loss within three months, blood transfusion within three months,</w:t>
      </w:r>
      <w:r w:rsidR="00F44B74" w:rsidRPr="00413F4E">
        <w:rPr>
          <w:rFonts w:asciiTheme="majorBidi" w:hAnsiTheme="majorBidi" w:cstheme="majorBidi"/>
          <w:sz w:val="24"/>
          <w:szCs w:val="24"/>
          <w:lang w:bidi="ar-IQ"/>
        </w:rPr>
        <w:t xml:space="preserve"> </w:t>
      </w:r>
      <w:r w:rsidR="00F44B74" w:rsidRPr="00413F4E">
        <w:rPr>
          <w:rFonts w:asciiTheme="majorBidi" w:hAnsiTheme="majorBidi" w:cstheme="majorBidi"/>
          <w:sz w:val="24"/>
          <w:szCs w:val="24"/>
          <w:shd w:val="clear" w:color="auto" w:fill="FFFFFF"/>
        </w:rPr>
        <w:t>chronic ingestion of alcohol, salicylates, opioids,</w:t>
      </w:r>
      <w:r w:rsidR="00F44B74" w:rsidRPr="00413F4E">
        <w:rPr>
          <w:rFonts w:asciiTheme="majorBidi" w:hAnsiTheme="majorBidi" w:cstheme="majorBidi"/>
          <w:sz w:val="24"/>
          <w:szCs w:val="24"/>
          <w:lang w:bidi="ar-IQ"/>
        </w:rPr>
        <w:t xml:space="preserve"> and </w:t>
      </w:r>
      <w:r w:rsidRPr="00413F4E">
        <w:rPr>
          <w:rFonts w:asciiTheme="majorBidi" w:hAnsiTheme="majorBidi" w:cstheme="majorBidi"/>
          <w:sz w:val="24"/>
          <w:szCs w:val="24"/>
          <w:lang w:bidi="ar-IQ"/>
        </w:rPr>
        <w:t>high doses of vitamins A and C, chronic kidney disease, chronic liver disease, HIV on antiretroviral therapy, pregnancy, hypersplenism, hypertriglyceridemia and hyperbilirubinemia</w:t>
      </w:r>
      <w:bookmarkStart w:id="3" w:name="_Hlk101098030"/>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5</w:t>
      </w:r>
      <w:bookmarkEnd w:id="3"/>
      <w:r w:rsidRPr="00413F4E">
        <w:rPr>
          <w:rFonts w:asciiTheme="majorBidi" w:hAnsiTheme="majorBidi" w:cstheme="majorBidi"/>
          <w:sz w:val="24"/>
          <w:szCs w:val="24"/>
          <w:lang w:bidi="ar-IQ"/>
        </w:rPr>
        <w:t xml:space="preserve"> Not identifying these factors may influence the decision-making process and adversely affects the patients’ health by intensifying the treatment and the risk of adverse eve</w:t>
      </w:r>
      <w:r w:rsidR="00FA57F9" w:rsidRPr="00413F4E">
        <w:rPr>
          <w:rFonts w:asciiTheme="majorBidi" w:hAnsiTheme="majorBidi" w:cstheme="majorBidi"/>
          <w:sz w:val="24"/>
          <w:szCs w:val="24"/>
          <w:lang w:bidi="ar-IQ"/>
        </w:rPr>
        <w:t>nts like hypoglycemia or</w:t>
      </w:r>
      <w:r w:rsidRPr="00413F4E">
        <w:rPr>
          <w:rFonts w:asciiTheme="majorBidi" w:hAnsiTheme="majorBidi" w:cstheme="majorBidi"/>
          <w:sz w:val="24"/>
          <w:szCs w:val="24"/>
          <w:lang w:bidi="ar-IQ"/>
        </w:rPr>
        <w:t xml:space="preserve"> wrongly de-intensify it</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6</w:t>
      </w:r>
      <w:r w:rsidR="00A26EA2" w:rsidRPr="00413F4E">
        <w:rPr>
          <w:rFonts w:asciiTheme="majorBidi" w:hAnsiTheme="majorBidi" w:cstheme="majorBidi"/>
          <w:sz w:val="24"/>
          <w:szCs w:val="24"/>
          <w:lang w:bidi="ar-IQ"/>
        </w:rPr>
        <w:t xml:space="preserve">  </w:t>
      </w:r>
      <w:r w:rsidR="00965BF6" w:rsidRPr="00413F4E">
        <w:rPr>
          <w:rFonts w:asciiTheme="majorBidi" w:hAnsiTheme="majorBidi" w:cstheme="majorBidi"/>
          <w:sz w:val="24"/>
          <w:szCs w:val="24"/>
          <w:lang w:bidi="ar-IQ"/>
        </w:rPr>
        <w:t>There are four most used techniques for measuring HbA1c</w:t>
      </w:r>
      <w:r w:rsidR="0063371C" w:rsidRPr="00413F4E">
        <w:rPr>
          <w:rFonts w:asciiTheme="majorBidi" w:hAnsiTheme="majorBidi" w:cstheme="majorBidi"/>
          <w:sz w:val="24"/>
          <w:szCs w:val="24"/>
          <w:lang w:bidi="ar-IQ"/>
        </w:rPr>
        <w:t>. They</w:t>
      </w:r>
      <w:r w:rsidR="00965BF6" w:rsidRPr="00413F4E">
        <w:rPr>
          <w:rFonts w:asciiTheme="majorBidi" w:hAnsiTheme="majorBidi" w:cstheme="majorBidi"/>
          <w:sz w:val="24"/>
          <w:szCs w:val="24"/>
          <w:lang w:bidi="ar-IQ"/>
        </w:rPr>
        <w:t xml:space="preserve"> are i</w:t>
      </w:r>
      <w:r w:rsidR="00424813" w:rsidRPr="00413F4E">
        <w:rPr>
          <w:rFonts w:asciiTheme="majorBidi" w:hAnsiTheme="majorBidi" w:cstheme="majorBidi"/>
          <w:sz w:val="24"/>
          <w:szCs w:val="24"/>
          <w:lang w:bidi="ar-IQ"/>
        </w:rPr>
        <w:t xml:space="preserve">mmunoassay, ion-exchange high-performance liquid chromatography, </w:t>
      </w:r>
      <w:proofErr w:type="spellStart"/>
      <w:r w:rsidR="00424813" w:rsidRPr="00413F4E">
        <w:rPr>
          <w:rFonts w:asciiTheme="majorBidi" w:hAnsiTheme="majorBidi" w:cstheme="majorBidi"/>
          <w:sz w:val="24"/>
          <w:szCs w:val="24"/>
          <w:lang w:bidi="ar-IQ"/>
        </w:rPr>
        <w:t>boronate</w:t>
      </w:r>
      <w:proofErr w:type="spellEnd"/>
      <w:r w:rsidR="00424813" w:rsidRPr="00413F4E">
        <w:rPr>
          <w:rFonts w:asciiTheme="majorBidi" w:hAnsiTheme="majorBidi" w:cstheme="majorBidi"/>
          <w:sz w:val="24"/>
          <w:szCs w:val="24"/>
          <w:lang w:bidi="ar-IQ"/>
        </w:rPr>
        <w:t xml:space="preserve"> affinity </w:t>
      </w:r>
      <w:r w:rsidR="00BB2F21" w:rsidRPr="00413F4E">
        <w:rPr>
          <w:rFonts w:asciiTheme="majorBidi" w:hAnsiTheme="majorBidi" w:cstheme="majorBidi"/>
          <w:sz w:val="24"/>
          <w:szCs w:val="24"/>
          <w:lang w:bidi="ar-IQ"/>
        </w:rPr>
        <w:t>high-performance liquid chromatography</w:t>
      </w:r>
      <w:r w:rsidR="00965BF6" w:rsidRPr="00413F4E">
        <w:rPr>
          <w:rFonts w:asciiTheme="majorBidi" w:hAnsiTheme="majorBidi" w:cstheme="majorBidi"/>
          <w:sz w:val="24"/>
          <w:szCs w:val="24"/>
          <w:lang w:bidi="ar-IQ"/>
        </w:rPr>
        <w:t>, and enzymatic assays</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7</w:t>
      </w:r>
      <w:r w:rsidR="00A26EA2" w:rsidRPr="00413F4E">
        <w:rPr>
          <w:rFonts w:asciiTheme="majorBidi" w:hAnsiTheme="majorBidi" w:cstheme="majorBidi"/>
          <w:sz w:val="24"/>
          <w:szCs w:val="24"/>
          <w:lang w:bidi="ar-IQ"/>
        </w:rPr>
        <w:t xml:space="preserve"> </w:t>
      </w:r>
      <w:r w:rsidRPr="00413F4E">
        <w:rPr>
          <w:rFonts w:asciiTheme="majorBidi" w:hAnsiTheme="majorBidi" w:cstheme="majorBidi"/>
          <w:sz w:val="24"/>
          <w:szCs w:val="24"/>
          <w:lang w:bidi="ar-IQ"/>
        </w:rPr>
        <w:t>The small intestine absorbs dietary triglycerides, which are then released into the lymph system before entering the systemic circulation as chylomicrons via the thoracic duct. Some of the triglycerides are removed from the chylomicrons by muscle and adipose tissues, and the remaining chylomicrons are taken up by the liver and processed into cholesterol-rich lipoproteins. Although the small intestine absorbs the majority of the triglycerides in the blood, the liver generates</w:t>
      </w:r>
      <w:r w:rsidR="0063371C" w:rsidRPr="00413F4E">
        <w:rPr>
          <w:rFonts w:asciiTheme="majorBidi" w:hAnsiTheme="majorBidi" w:cstheme="majorBidi"/>
          <w:sz w:val="24"/>
          <w:szCs w:val="24"/>
          <w:lang w:bidi="ar-IQ"/>
        </w:rPr>
        <w:t xml:space="preserve"> and secretes a little quantity</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8</w:t>
      </w:r>
      <w:r w:rsidR="00A26EA2" w:rsidRPr="00413F4E">
        <w:rPr>
          <w:rFonts w:asciiTheme="majorBidi" w:hAnsiTheme="majorBidi" w:cstheme="majorBidi"/>
          <w:sz w:val="24"/>
          <w:szCs w:val="24"/>
          <w:lang w:bidi="ar-IQ"/>
        </w:rPr>
        <w:t xml:space="preserve"> </w:t>
      </w:r>
      <w:r w:rsidR="0063371C" w:rsidRPr="00413F4E">
        <w:rPr>
          <w:rFonts w:asciiTheme="majorBidi" w:hAnsiTheme="majorBidi" w:cstheme="majorBidi"/>
          <w:sz w:val="24"/>
          <w:szCs w:val="24"/>
          <w:lang w:bidi="ar-IQ"/>
        </w:rPr>
        <w:t>Many causes can lead to hypertriglyceridemia including</w:t>
      </w:r>
      <w:r w:rsidR="002C3529" w:rsidRPr="00413F4E">
        <w:rPr>
          <w:rFonts w:asciiTheme="majorBidi" w:hAnsiTheme="majorBidi" w:cstheme="majorBidi"/>
          <w:sz w:val="24"/>
          <w:szCs w:val="24"/>
          <w:lang w:bidi="ar-IQ"/>
        </w:rPr>
        <w:t xml:space="preserve">: </w:t>
      </w:r>
      <w:r w:rsidR="0063371C" w:rsidRPr="00413F4E">
        <w:rPr>
          <w:rFonts w:asciiTheme="majorBidi" w:hAnsiTheme="majorBidi" w:cstheme="majorBidi"/>
          <w:sz w:val="24"/>
          <w:szCs w:val="24"/>
          <w:lang w:bidi="ar-IQ"/>
        </w:rPr>
        <w:t>o</w:t>
      </w:r>
      <w:r w:rsidRPr="00413F4E">
        <w:rPr>
          <w:rFonts w:asciiTheme="majorBidi" w:hAnsiTheme="majorBidi" w:cstheme="majorBidi"/>
          <w:sz w:val="24"/>
          <w:szCs w:val="24"/>
          <w:lang w:bidi="ar-IQ"/>
        </w:rPr>
        <w:t>besity</w:t>
      </w:r>
      <w:r w:rsidR="0063371C" w:rsidRPr="00413F4E">
        <w:rPr>
          <w:rFonts w:asciiTheme="majorBidi" w:hAnsiTheme="majorBidi" w:cstheme="majorBidi"/>
          <w:sz w:val="24"/>
          <w:szCs w:val="24"/>
          <w:lang w:bidi="ar-IQ"/>
        </w:rPr>
        <w:t>, o</w:t>
      </w:r>
      <w:r w:rsidRPr="00413F4E">
        <w:rPr>
          <w:rFonts w:asciiTheme="majorBidi" w:hAnsiTheme="majorBidi" w:cstheme="majorBidi"/>
          <w:sz w:val="24"/>
          <w:szCs w:val="24"/>
          <w:lang w:bidi="ar-IQ"/>
        </w:rPr>
        <w:t>vereating</w:t>
      </w:r>
      <w:r w:rsidR="0063371C" w:rsidRPr="00413F4E">
        <w:rPr>
          <w:rFonts w:asciiTheme="majorBidi" w:hAnsiTheme="majorBidi" w:cstheme="majorBidi"/>
          <w:sz w:val="24"/>
          <w:szCs w:val="24"/>
          <w:lang w:bidi="ar-IQ"/>
        </w:rPr>
        <w:t>, d</w:t>
      </w:r>
      <w:r w:rsidR="009927EA" w:rsidRPr="00413F4E">
        <w:rPr>
          <w:rFonts w:asciiTheme="majorBidi" w:hAnsiTheme="majorBidi" w:cstheme="majorBidi"/>
          <w:sz w:val="24"/>
          <w:szCs w:val="24"/>
          <w:lang w:bidi="ar-IQ"/>
        </w:rPr>
        <w:t>iabetes mellitus</w:t>
      </w:r>
      <w:r w:rsidRPr="00413F4E">
        <w:rPr>
          <w:rFonts w:asciiTheme="majorBidi" w:hAnsiTheme="majorBidi" w:cstheme="majorBidi"/>
          <w:sz w:val="24"/>
          <w:szCs w:val="24"/>
          <w:lang w:bidi="ar-IQ"/>
        </w:rPr>
        <w:t xml:space="preserve"> and insulin resistance</w:t>
      </w:r>
      <w:r w:rsidR="0063371C" w:rsidRPr="00413F4E">
        <w:rPr>
          <w:rFonts w:asciiTheme="majorBidi" w:hAnsiTheme="majorBidi" w:cstheme="majorBidi"/>
          <w:sz w:val="24"/>
          <w:szCs w:val="24"/>
          <w:lang w:bidi="ar-IQ"/>
        </w:rPr>
        <w:t xml:space="preserve">, </w:t>
      </w:r>
      <w:r w:rsidRPr="00413F4E">
        <w:rPr>
          <w:rFonts w:asciiTheme="majorBidi" w:hAnsiTheme="majorBidi" w:cstheme="majorBidi"/>
          <w:sz w:val="24"/>
          <w:szCs w:val="24"/>
          <w:lang w:bidi="ar-IQ"/>
        </w:rPr>
        <w:t>excess alcohol intake</w:t>
      </w:r>
      <w:r w:rsidR="0063371C" w:rsidRPr="00413F4E">
        <w:rPr>
          <w:rFonts w:asciiTheme="majorBidi" w:hAnsiTheme="majorBidi" w:cstheme="majorBidi"/>
          <w:sz w:val="24"/>
          <w:szCs w:val="24"/>
          <w:lang w:bidi="ar-IQ"/>
        </w:rPr>
        <w:t xml:space="preserve">, </w:t>
      </w:r>
      <w:r w:rsidR="002C3529" w:rsidRPr="00413F4E">
        <w:rPr>
          <w:rFonts w:asciiTheme="majorBidi" w:hAnsiTheme="majorBidi" w:cstheme="majorBidi"/>
          <w:sz w:val="24"/>
          <w:szCs w:val="24"/>
          <w:lang w:bidi="ar-IQ"/>
        </w:rPr>
        <w:t>n</w:t>
      </w:r>
      <w:r w:rsidR="009927EA" w:rsidRPr="00413F4E">
        <w:rPr>
          <w:rFonts w:asciiTheme="majorBidi" w:hAnsiTheme="majorBidi" w:cstheme="majorBidi"/>
          <w:sz w:val="24"/>
          <w:szCs w:val="24"/>
          <w:lang w:bidi="ar-IQ"/>
        </w:rPr>
        <w:t xml:space="preserve">ephrotic </w:t>
      </w:r>
      <w:r w:rsidR="009927EA" w:rsidRPr="00413F4E">
        <w:rPr>
          <w:rFonts w:asciiTheme="majorBidi" w:hAnsiTheme="majorBidi" w:cstheme="majorBidi"/>
          <w:sz w:val="24"/>
          <w:szCs w:val="24"/>
          <w:lang w:bidi="ar-IQ"/>
        </w:rPr>
        <w:t xml:space="preserve">syndrome and </w:t>
      </w:r>
      <w:r w:rsidRPr="00413F4E">
        <w:rPr>
          <w:rFonts w:asciiTheme="majorBidi" w:hAnsiTheme="majorBidi" w:cstheme="majorBidi"/>
          <w:sz w:val="24"/>
          <w:szCs w:val="24"/>
          <w:lang w:bidi="ar-IQ"/>
        </w:rPr>
        <w:t>kidney failure</w:t>
      </w:r>
      <w:r w:rsidR="000749D8" w:rsidRPr="00413F4E">
        <w:rPr>
          <w:rFonts w:asciiTheme="majorBidi" w:hAnsiTheme="majorBidi" w:cstheme="majorBidi"/>
          <w:sz w:val="24"/>
          <w:szCs w:val="24"/>
          <w:lang w:bidi="ar-IQ"/>
        </w:rPr>
        <w:t xml:space="preserve">, </w:t>
      </w:r>
      <w:r w:rsidR="002C3529" w:rsidRPr="00413F4E">
        <w:rPr>
          <w:rFonts w:asciiTheme="majorBidi" w:hAnsiTheme="majorBidi" w:cstheme="majorBidi"/>
          <w:sz w:val="24"/>
          <w:szCs w:val="24"/>
          <w:lang w:bidi="ar-IQ"/>
        </w:rPr>
        <w:t>s</w:t>
      </w:r>
      <w:r w:rsidRPr="00413F4E">
        <w:rPr>
          <w:rFonts w:asciiTheme="majorBidi" w:hAnsiTheme="majorBidi" w:cstheme="majorBidi"/>
          <w:sz w:val="24"/>
          <w:szCs w:val="24"/>
          <w:lang w:bidi="ar-IQ"/>
        </w:rPr>
        <w:t>ome ty</w:t>
      </w:r>
      <w:r w:rsidR="000749D8" w:rsidRPr="00413F4E">
        <w:rPr>
          <w:rFonts w:asciiTheme="majorBidi" w:hAnsiTheme="majorBidi" w:cstheme="majorBidi"/>
          <w:sz w:val="24"/>
          <w:szCs w:val="24"/>
          <w:lang w:bidi="ar-IQ"/>
        </w:rPr>
        <w:t xml:space="preserve">pes of familial hyperlipidemia </w:t>
      </w:r>
      <w:r w:rsidRPr="00413F4E">
        <w:rPr>
          <w:rFonts w:asciiTheme="majorBidi" w:hAnsiTheme="majorBidi" w:cstheme="majorBidi"/>
          <w:sz w:val="24"/>
          <w:szCs w:val="24"/>
          <w:lang w:bidi="ar-IQ"/>
        </w:rPr>
        <w:t>like familial combined hyperlipidemia (Type II hyperlipidemia)</w:t>
      </w:r>
      <w:r w:rsidR="000749D8" w:rsidRPr="00413F4E">
        <w:rPr>
          <w:rFonts w:asciiTheme="majorBidi" w:hAnsiTheme="majorBidi" w:cstheme="majorBidi"/>
          <w:sz w:val="24"/>
          <w:szCs w:val="24"/>
          <w:lang w:bidi="ar-IQ"/>
        </w:rPr>
        <w:t xml:space="preserve">, </w:t>
      </w:r>
      <w:r w:rsidR="002C3529" w:rsidRPr="00413F4E">
        <w:rPr>
          <w:rFonts w:asciiTheme="majorBidi" w:hAnsiTheme="majorBidi" w:cstheme="majorBidi"/>
          <w:sz w:val="24"/>
          <w:szCs w:val="24"/>
          <w:lang w:bidi="ar-IQ"/>
        </w:rPr>
        <w:t>d</w:t>
      </w:r>
      <w:r w:rsidR="000749D8" w:rsidRPr="00413F4E">
        <w:rPr>
          <w:rFonts w:asciiTheme="majorBidi" w:hAnsiTheme="majorBidi" w:cstheme="majorBidi"/>
          <w:sz w:val="24"/>
          <w:szCs w:val="24"/>
          <w:lang w:bidi="ar-IQ"/>
        </w:rPr>
        <w:t xml:space="preserve">eficiency of lipoprotein lipase, </w:t>
      </w:r>
      <w:r w:rsidR="002C3529" w:rsidRPr="00413F4E">
        <w:rPr>
          <w:rFonts w:asciiTheme="majorBidi" w:hAnsiTheme="majorBidi" w:cstheme="majorBidi"/>
          <w:sz w:val="24"/>
          <w:szCs w:val="24"/>
          <w:lang w:bidi="ar-IQ"/>
        </w:rPr>
        <w:t>h</w:t>
      </w:r>
      <w:r w:rsidR="000749D8" w:rsidRPr="00413F4E">
        <w:rPr>
          <w:rFonts w:asciiTheme="majorBidi" w:hAnsiTheme="majorBidi" w:cstheme="majorBidi"/>
          <w:sz w:val="24"/>
          <w:szCs w:val="24"/>
          <w:lang w:bidi="ar-IQ"/>
        </w:rPr>
        <w:t>ypothyroidi</w:t>
      </w:r>
      <w:r w:rsidR="002C3529" w:rsidRPr="00413F4E">
        <w:rPr>
          <w:rFonts w:asciiTheme="majorBidi" w:hAnsiTheme="majorBidi" w:cstheme="majorBidi"/>
          <w:sz w:val="24"/>
          <w:szCs w:val="24"/>
          <w:lang w:bidi="ar-IQ"/>
        </w:rPr>
        <w:t xml:space="preserve">sm, systemic lupus </w:t>
      </w:r>
      <w:r w:rsidR="002C3529" w:rsidRPr="00413F4E">
        <w:rPr>
          <w:rFonts w:asciiTheme="majorBidi" w:hAnsiTheme="majorBidi" w:cstheme="majorBidi"/>
          <w:color w:val="202124"/>
          <w:sz w:val="24"/>
          <w:szCs w:val="24"/>
          <w:shd w:val="clear" w:color="auto" w:fill="FFFFFF"/>
        </w:rPr>
        <w:t>erythematosus</w:t>
      </w:r>
      <w:r w:rsidR="000749D8" w:rsidRPr="00413F4E">
        <w:rPr>
          <w:rFonts w:asciiTheme="majorBidi" w:hAnsiTheme="majorBidi" w:cstheme="majorBidi"/>
          <w:sz w:val="24"/>
          <w:szCs w:val="24"/>
          <w:lang w:bidi="ar-IQ"/>
        </w:rPr>
        <w:t xml:space="preserve"> and m</w:t>
      </w:r>
      <w:r w:rsidRPr="00413F4E">
        <w:rPr>
          <w:rFonts w:asciiTheme="majorBidi" w:hAnsiTheme="majorBidi" w:cstheme="majorBidi"/>
          <w:sz w:val="24"/>
          <w:szCs w:val="24"/>
          <w:lang w:bidi="ar-IQ"/>
        </w:rPr>
        <w:t xml:space="preserve">edications like beta-blockers, anti-psychotics, </w:t>
      </w:r>
      <w:r w:rsidRPr="00413F4E">
        <w:rPr>
          <w:rFonts w:asciiTheme="majorBidi" w:hAnsiTheme="majorBidi" w:cstheme="majorBidi"/>
          <w:color w:val="202124"/>
          <w:sz w:val="24"/>
          <w:szCs w:val="24"/>
          <w:shd w:val="clear" w:color="auto" w:fill="FFFFFF"/>
        </w:rPr>
        <w:t>bile acid sequestrants</w:t>
      </w:r>
      <w:r w:rsidRPr="00413F4E">
        <w:rPr>
          <w:rFonts w:asciiTheme="majorBidi" w:hAnsiTheme="majorBidi" w:cstheme="majorBidi"/>
          <w:sz w:val="24"/>
          <w:szCs w:val="24"/>
          <w:lang w:bidi="ar-IQ"/>
        </w:rPr>
        <w:t>, estrogen, immunosuppressants, protease inhibitors, tamoxifen, glucocortico</w:t>
      </w:r>
      <w:r w:rsidR="000749D8" w:rsidRPr="00413F4E">
        <w:rPr>
          <w:rFonts w:asciiTheme="majorBidi" w:hAnsiTheme="majorBidi" w:cstheme="majorBidi"/>
          <w:sz w:val="24"/>
          <w:szCs w:val="24"/>
          <w:lang w:bidi="ar-IQ"/>
        </w:rPr>
        <w:t>ids, thiazides and isotretinoin</w:t>
      </w:r>
      <w:r w:rsidR="00963A09">
        <w:rPr>
          <w:rFonts w:asciiTheme="majorBidi" w:hAnsiTheme="majorBidi" w:cstheme="majorBidi"/>
          <w:sz w:val="24"/>
          <w:szCs w:val="24"/>
          <w:lang w:bidi="ar-IQ"/>
        </w:rPr>
        <w:t>.</w:t>
      </w:r>
      <w:r w:rsidR="00963A09">
        <w:rPr>
          <w:rFonts w:asciiTheme="majorBidi" w:hAnsiTheme="majorBidi" w:cstheme="majorBidi"/>
          <w:sz w:val="24"/>
          <w:szCs w:val="24"/>
          <w:vertAlign w:val="superscript"/>
          <w:lang w:bidi="ar-IQ"/>
        </w:rPr>
        <w:t xml:space="preserve">9 </w:t>
      </w:r>
      <w:r w:rsidRPr="00413F4E">
        <w:rPr>
          <w:rFonts w:asciiTheme="majorBidi" w:hAnsiTheme="majorBidi" w:cstheme="majorBidi"/>
          <w:sz w:val="24"/>
          <w:szCs w:val="24"/>
        </w:rPr>
        <w:t>Hypertriglyceridemia must be diagnosed using fasting serum triglycerides level</w:t>
      </w:r>
      <w:r w:rsidR="00E002EE" w:rsidRPr="00413F4E">
        <w:rPr>
          <w:rFonts w:asciiTheme="majorBidi" w:hAnsiTheme="majorBidi" w:cstheme="majorBidi"/>
          <w:sz w:val="24"/>
          <w:szCs w:val="24"/>
        </w:rPr>
        <w:t>s</w:t>
      </w:r>
      <w:r w:rsidRPr="00413F4E">
        <w:rPr>
          <w:rFonts w:asciiTheme="majorBidi" w:hAnsiTheme="majorBidi" w:cstheme="majorBidi"/>
          <w:sz w:val="24"/>
          <w:szCs w:val="24"/>
        </w:rPr>
        <w:t xml:space="preserve">. According to Endocrine Society, mild hypertriglyceridemia is defined as triglycerides level of 150-199 mg/dl, moderate hypertriglyceridemia is defined as triglycerides level of 200-999 mg/dl and severe hypertriglyceridemia is defined as triglycerides level of </w:t>
      </w:r>
      <w:r w:rsidRPr="00413F4E">
        <w:rPr>
          <w:rFonts w:asciiTheme="majorBidi" w:hAnsiTheme="majorBidi" w:cstheme="majorBidi"/>
          <w:sz w:val="24"/>
          <w:szCs w:val="24"/>
          <w:lang w:val="en-GB" w:bidi="ar-IQ"/>
        </w:rPr>
        <w:t>≥</w:t>
      </w:r>
      <w:r w:rsidRPr="00413F4E">
        <w:rPr>
          <w:rFonts w:asciiTheme="majorBidi" w:hAnsiTheme="majorBidi" w:cstheme="majorBidi"/>
          <w:sz w:val="24"/>
          <w:szCs w:val="24"/>
        </w:rPr>
        <w:t> 1000 mg/dl</w:t>
      </w:r>
      <w:r w:rsidR="00963A09">
        <w:rPr>
          <w:rFonts w:asciiTheme="majorBidi" w:hAnsiTheme="majorBidi" w:cstheme="majorBidi"/>
          <w:sz w:val="24"/>
          <w:szCs w:val="24"/>
        </w:rPr>
        <w:t>.</w:t>
      </w:r>
      <w:r w:rsidR="00963A09">
        <w:rPr>
          <w:rFonts w:asciiTheme="majorBidi" w:hAnsiTheme="majorBidi" w:cstheme="majorBidi"/>
          <w:sz w:val="24"/>
          <w:szCs w:val="24"/>
          <w:vertAlign w:val="superscript"/>
        </w:rPr>
        <w:t>10</w:t>
      </w:r>
    </w:p>
    <w:p w14:paraId="53B19C07" w14:textId="77777777" w:rsidR="00963A09" w:rsidRPr="00413F4E" w:rsidRDefault="00963A09" w:rsidP="00396FBD">
      <w:pPr>
        <w:bidi w:val="0"/>
        <w:spacing w:after="0"/>
        <w:ind w:right="51"/>
        <w:jc w:val="both"/>
        <w:rPr>
          <w:rFonts w:asciiTheme="majorBidi" w:hAnsiTheme="majorBidi" w:cstheme="majorBidi"/>
          <w:sz w:val="24"/>
          <w:szCs w:val="24"/>
          <w:lang w:bidi="ar-IQ"/>
        </w:rPr>
      </w:pPr>
    </w:p>
    <w:p w14:paraId="4A2E3841" w14:textId="08CF0277" w:rsidR="00E23E5F" w:rsidRPr="005D78A9" w:rsidRDefault="00C82B22" w:rsidP="00396FBD">
      <w:pPr>
        <w:bidi w:val="0"/>
        <w:spacing w:after="0"/>
        <w:ind w:right="51"/>
        <w:rPr>
          <w:rFonts w:ascii="Arial Black" w:hAnsi="Arial Black" w:cstheme="majorBidi"/>
          <w:sz w:val="24"/>
          <w:szCs w:val="24"/>
          <w:lang w:bidi="ar-IQ"/>
        </w:rPr>
      </w:pPr>
      <w:r w:rsidRPr="005D78A9">
        <w:rPr>
          <w:rFonts w:ascii="Arial Black" w:hAnsi="Arial Black" w:cstheme="majorBidi"/>
          <w:sz w:val="24"/>
          <w:szCs w:val="24"/>
          <w:lang w:bidi="ar-IQ"/>
        </w:rPr>
        <w:t>Patients and methods</w:t>
      </w:r>
    </w:p>
    <w:p w14:paraId="22C40B79" w14:textId="47EB07CA" w:rsidR="00E23E5F" w:rsidRPr="00413F4E" w:rsidRDefault="007551AB" w:rsidP="00396FBD">
      <w:pPr>
        <w:bidi w:val="0"/>
        <w:spacing w:after="0"/>
        <w:ind w:right="51"/>
        <w:jc w:val="both"/>
        <w:rPr>
          <w:rFonts w:asciiTheme="majorBidi" w:eastAsia="Times New Roman" w:hAnsiTheme="majorBidi" w:cstheme="majorBidi"/>
          <w:color w:val="000000"/>
          <w:sz w:val="24"/>
          <w:szCs w:val="24"/>
        </w:rPr>
      </w:pPr>
      <w:r w:rsidRPr="00413F4E">
        <w:rPr>
          <w:rFonts w:asciiTheme="majorBidi" w:hAnsiTheme="majorBidi" w:cstheme="majorBidi"/>
          <w:sz w:val="24"/>
          <w:szCs w:val="24"/>
          <w:lang w:bidi="ar-IQ"/>
        </w:rPr>
        <w:t xml:space="preserve">A </w:t>
      </w:r>
      <w:r w:rsidR="00C82B22" w:rsidRPr="00413F4E">
        <w:rPr>
          <w:rFonts w:asciiTheme="majorBidi" w:hAnsiTheme="majorBidi" w:cstheme="majorBidi"/>
          <w:sz w:val="24"/>
          <w:szCs w:val="24"/>
          <w:lang w:bidi="ar-IQ"/>
        </w:rPr>
        <w:t>retrospective study on two groups of adult patients (Age &gt;18 years) with type 2 DM; those with normal triglycerides levels (TG &lt; 150 mg/dl) and those with severe hypertriglyceridemia (TG ≥ 1000 mg/dl)</w:t>
      </w:r>
      <w:r w:rsidR="00AE2C67" w:rsidRPr="00413F4E">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 xml:space="preserve">were implemented in </w:t>
      </w:r>
      <w:proofErr w:type="spellStart"/>
      <w:r w:rsidR="00C82B22" w:rsidRPr="00413F4E">
        <w:rPr>
          <w:rFonts w:asciiTheme="majorBidi" w:hAnsiTheme="majorBidi" w:cstheme="majorBidi"/>
          <w:sz w:val="24"/>
          <w:szCs w:val="24"/>
          <w:lang w:bidi="ar-IQ"/>
        </w:rPr>
        <w:t>Faiha</w:t>
      </w:r>
      <w:proofErr w:type="spellEnd"/>
      <w:r w:rsidR="00C82B22" w:rsidRPr="00413F4E">
        <w:rPr>
          <w:rFonts w:asciiTheme="majorBidi" w:hAnsiTheme="majorBidi" w:cstheme="majorBidi"/>
          <w:sz w:val="24"/>
          <w:szCs w:val="24"/>
          <w:lang w:bidi="ar-IQ"/>
        </w:rPr>
        <w:t xml:space="preserve"> Diabetes, Endocrine and Metabolism Centre (FDEMC) in Basrah–Iraq. Data were collected from the electronic registry of patients who consulted </w:t>
      </w:r>
      <w:proofErr w:type="spellStart"/>
      <w:r w:rsidR="00C82B22" w:rsidRPr="00413F4E">
        <w:rPr>
          <w:rFonts w:asciiTheme="majorBidi" w:hAnsiTheme="majorBidi" w:cstheme="majorBidi"/>
          <w:sz w:val="24"/>
          <w:szCs w:val="24"/>
          <w:lang w:bidi="ar-IQ"/>
        </w:rPr>
        <w:t>Faiha</w:t>
      </w:r>
      <w:proofErr w:type="spellEnd"/>
      <w:r w:rsidR="00C82B22" w:rsidRPr="00413F4E">
        <w:rPr>
          <w:rFonts w:asciiTheme="majorBidi" w:hAnsiTheme="majorBidi" w:cstheme="majorBidi"/>
          <w:sz w:val="24"/>
          <w:szCs w:val="24"/>
          <w:lang w:bidi="ar-IQ"/>
        </w:rPr>
        <w:t xml:space="preserve"> Diabetes, Endocrine and Metabolism Centre (FDEMC).</w:t>
      </w:r>
      <w:r w:rsidR="005D78A9">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 xml:space="preserve">A total of 267 patients with type 2 DM and severe hypertriglyceridemia were collected from the electronic registry of patients who consulted to </w:t>
      </w:r>
      <w:proofErr w:type="spellStart"/>
      <w:r w:rsidR="00C82B22" w:rsidRPr="00413F4E">
        <w:rPr>
          <w:rFonts w:asciiTheme="majorBidi" w:hAnsiTheme="majorBidi" w:cstheme="majorBidi"/>
          <w:sz w:val="24"/>
          <w:szCs w:val="24"/>
          <w:lang w:bidi="ar-IQ"/>
        </w:rPr>
        <w:t>Faiha</w:t>
      </w:r>
      <w:proofErr w:type="spellEnd"/>
      <w:r w:rsidR="00C82B22" w:rsidRPr="00413F4E">
        <w:rPr>
          <w:rFonts w:asciiTheme="majorBidi" w:hAnsiTheme="majorBidi" w:cstheme="majorBidi"/>
          <w:sz w:val="24"/>
          <w:szCs w:val="24"/>
          <w:lang w:bidi="ar-IQ"/>
        </w:rPr>
        <w:t xml:space="preserve"> Diabetes, Endocrine and Metabolism Centre (FDEMC) from the 24</w:t>
      </w:r>
      <w:r w:rsidR="00C82B22" w:rsidRPr="00413F4E">
        <w:rPr>
          <w:rFonts w:asciiTheme="majorBidi" w:hAnsiTheme="majorBidi" w:cstheme="majorBidi"/>
          <w:sz w:val="24"/>
          <w:szCs w:val="24"/>
          <w:vertAlign w:val="superscript"/>
          <w:lang w:bidi="ar-IQ"/>
        </w:rPr>
        <w:t xml:space="preserve">th </w:t>
      </w:r>
      <w:r w:rsidR="00C82B22" w:rsidRPr="00413F4E">
        <w:rPr>
          <w:rFonts w:asciiTheme="majorBidi" w:hAnsiTheme="majorBidi" w:cstheme="majorBidi"/>
          <w:sz w:val="24"/>
          <w:szCs w:val="24"/>
          <w:lang w:bidi="ar-IQ"/>
        </w:rPr>
        <w:t>of August, 2008 to the 16</w:t>
      </w:r>
      <w:r w:rsidR="00C82B22" w:rsidRPr="00413F4E">
        <w:rPr>
          <w:rFonts w:asciiTheme="majorBidi" w:hAnsiTheme="majorBidi" w:cstheme="majorBidi"/>
          <w:sz w:val="24"/>
          <w:szCs w:val="24"/>
          <w:vertAlign w:val="superscript"/>
          <w:lang w:bidi="ar-IQ"/>
        </w:rPr>
        <w:t>th</w:t>
      </w:r>
      <w:r w:rsidR="00C82B22" w:rsidRPr="00413F4E">
        <w:rPr>
          <w:rFonts w:asciiTheme="majorBidi" w:hAnsiTheme="majorBidi" w:cstheme="majorBidi"/>
          <w:sz w:val="24"/>
          <w:szCs w:val="24"/>
          <w:lang w:bidi="ar-IQ"/>
        </w:rPr>
        <w:t xml:space="preserve"> of September, 2021.</w:t>
      </w:r>
      <w:r w:rsidR="005D78A9">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A total of 313 patients with type 2 DM and normal triglycerides levels were collected from the electronic registry of patients who consulted FDEMC from the 18</w:t>
      </w:r>
      <w:r w:rsidR="00C82B22" w:rsidRPr="00413F4E">
        <w:rPr>
          <w:rFonts w:asciiTheme="majorBidi" w:hAnsiTheme="majorBidi" w:cstheme="majorBidi"/>
          <w:sz w:val="24"/>
          <w:szCs w:val="24"/>
          <w:vertAlign w:val="superscript"/>
          <w:lang w:bidi="ar-IQ"/>
        </w:rPr>
        <w:t>th</w:t>
      </w:r>
      <w:r w:rsidR="00C82B22" w:rsidRPr="00413F4E">
        <w:rPr>
          <w:rFonts w:asciiTheme="majorBidi" w:hAnsiTheme="majorBidi" w:cstheme="majorBidi"/>
          <w:sz w:val="24"/>
          <w:szCs w:val="24"/>
          <w:lang w:bidi="ar-IQ"/>
        </w:rPr>
        <w:t xml:space="preserve"> of July, 2021 to the 16</w:t>
      </w:r>
      <w:r w:rsidR="00C82B22" w:rsidRPr="00413F4E">
        <w:rPr>
          <w:rFonts w:asciiTheme="majorBidi" w:hAnsiTheme="majorBidi" w:cstheme="majorBidi"/>
          <w:sz w:val="24"/>
          <w:szCs w:val="24"/>
          <w:vertAlign w:val="superscript"/>
          <w:lang w:bidi="ar-IQ"/>
        </w:rPr>
        <w:t>th</w:t>
      </w:r>
      <w:r w:rsidR="00C82B22" w:rsidRPr="00413F4E">
        <w:rPr>
          <w:rFonts w:asciiTheme="majorBidi" w:hAnsiTheme="majorBidi" w:cstheme="majorBidi"/>
          <w:sz w:val="24"/>
          <w:szCs w:val="24"/>
          <w:lang w:bidi="ar-IQ"/>
        </w:rPr>
        <w:t xml:space="preserve"> of September, 2021.</w:t>
      </w:r>
      <w:r w:rsidR="005D78A9">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 xml:space="preserve">For </w:t>
      </w:r>
      <w:bookmarkStart w:id="4" w:name="_Hlk138964522"/>
      <w:bookmarkEnd w:id="2"/>
      <w:r w:rsidR="00C82B22" w:rsidRPr="00413F4E">
        <w:rPr>
          <w:rFonts w:asciiTheme="majorBidi" w:hAnsiTheme="majorBidi" w:cstheme="majorBidi"/>
          <w:sz w:val="24"/>
          <w:szCs w:val="24"/>
          <w:lang w:bidi="ar-IQ"/>
        </w:rPr>
        <w:t xml:space="preserve">both groups, we recorded patients' age, sex, body </w:t>
      </w:r>
      <w:r w:rsidR="00C82B22" w:rsidRPr="00413F4E">
        <w:rPr>
          <w:rFonts w:asciiTheme="majorBidi" w:hAnsiTheme="majorBidi" w:cstheme="majorBidi"/>
          <w:sz w:val="24"/>
          <w:szCs w:val="24"/>
          <w:lang w:bidi="ar-IQ"/>
        </w:rPr>
        <w:lastRenderedPageBreak/>
        <w:t xml:space="preserve">mass index, fasting blood </w:t>
      </w:r>
      <w:r w:rsidR="00180BC8" w:rsidRPr="00413F4E">
        <w:rPr>
          <w:rFonts w:asciiTheme="majorBidi" w:hAnsiTheme="majorBidi" w:cstheme="majorBidi"/>
          <w:sz w:val="24"/>
          <w:szCs w:val="24"/>
          <w:lang w:bidi="ar-IQ"/>
        </w:rPr>
        <w:t>sugar</w:t>
      </w:r>
      <w:r w:rsidR="00C82B22" w:rsidRPr="00413F4E">
        <w:rPr>
          <w:rFonts w:asciiTheme="majorBidi" w:hAnsiTheme="majorBidi" w:cstheme="majorBidi"/>
          <w:sz w:val="24"/>
          <w:szCs w:val="24"/>
          <w:lang w:bidi="ar-IQ"/>
        </w:rPr>
        <w:t xml:space="preserve">, glycosylated hemoglobin, Fasting triglycerides level, LDL, VLDL, HDL, cholesterol, non-HDL and duration of diabetes. Both groups of patients were subdivided into sub-groups each one with its specific range of FBS. </w:t>
      </w:r>
      <w:r w:rsidR="00CF321D" w:rsidRPr="00413F4E">
        <w:rPr>
          <w:rFonts w:asciiTheme="majorBidi" w:hAnsiTheme="majorBidi" w:cstheme="majorBidi"/>
          <w:sz w:val="24"/>
          <w:szCs w:val="24"/>
          <w:lang w:bidi="ar-IQ"/>
        </w:rPr>
        <w:t>The range</w:t>
      </w:r>
      <w:r w:rsidR="00985211" w:rsidRPr="00413F4E">
        <w:rPr>
          <w:rFonts w:asciiTheme="majorBidi" w:hAnsiTheme="majorBidi" w:cstheme="majorBidi"/>
          <w:sz w:val="24"/>
          <w:szCs w:val="24"/>
          <w:lang w:bidi="ar-IQ"/>
        </w:rPr>
        <w:t>s</w:t>
      </w:r>
      <w:r w:rsidR="00CF321D" w:rsidRPr="00413F4E">
        <w:rPr>
          <w:rFonts w:asciiTheme="majorBidi" w:hAnsiTheme="majorBidi" w:cstheme="majorBidi"/>
          <w:sz w:val="24"/>
          <w:szCs w:val="24"/>
          <w:lang w:bidi="ar-IQ"/>
        </w:rPr>
        <w:t xml:space="preserve"> of FBS in these sub-groups were chosen to ensure good number of </w:t>
      </w:r>
      <w:r w:rsidR="0039703F" w:rsidRPr="00413F4E">
        <w:rPr>
          <w:rFonts w:asciiTheme="majorBidi" w:hAnsiTheme="majorBidi" w:cstheme="majorBidi"/>
          <w:sz w:val="24"/>
          <w:szCs w:val="24"/>
          <w:lang w:bidi="ar-IQ"/>
        </w:rPr>
        <w:t>patients</w:t>
      </w:r>
      <w:r w:rsidR="00CF321D" w:rsidRPr="00413F4E">
        <w:rPr>
          <w:rFonts w:asciiTheme="majorBidi" w:hAnsiTheme="majorBidi" w:cstheme="majorBidi"/>
          <w:sz w:val="24"/>
          <w:szCs w:val="24"/>
          <w:lang w:bidi="ar-IQ"/>
        </w:rPr>
        <w:t xml:space="preserve"> in each sub-group and nearly the same mean FBS in </w:t>
      </w:r>
      <w:r w:rsidR="009B7EC9" w:rsidRPr="00413F4E">
        <w:rPr>
          <w:rFonts w:asciiTheme="majorBidi" w:hAnsiTheme="majorBidi" w:cstheme="majorBidi"/>
          <w:sz w:val="24"/>
          <w:szCs w:val="24"/>
          <w:lang w:bidi="ar-IQ"/>
        </w:rPr>
        <w:t>patients with normal triglycerides level</w:t>
      </w:r>
      <w:r w:rsidR="00985211" w:rsidRPr="00413F4E">
        <w:rPr>
          <w:rFonts w:asciiTheme="majorBidi" w:hAnsiTheme="majorBidi" w:cstheme="majorBidi"/>
          <w:sz w:val="24"/>
          <w:szCs w:val="24"/>
          <w:lang w:bidi="ar-IQ"/>
        </w:rPr>
        <w:t>s</w:t>
      </w:r>
      <w:r w:rsidR="009B7EC9" w:rsidRPr="00413F4E">
        <w:rPr>
          <w:rFonts w:asciiTheme="majorBidi" w:hAnsiTheme="majorBidi" w:cstheme="majorBidi"/>
          <w:sz w:val="24"/>
          <w:szCs w:val="24"/>
          <w:lang w:bidi="ar-IQ"/>
        </w:rPr>
        <w:t xml:space="preserve"> and those with severe hypertriglyceridemia</w:t>
      </w:r>
      <w:r w:rsidR="00985211" w:rsidRPr="00413F4E">
        <w:rPr>
          <w:rFonts w:asciiTheme="majorBidi" w:hAnsiTheme="majorBidi" w:cstheme="majorBidi"/>
          <w:sz w:val="24"/>
          <w:szCs w:val="24"/>
          <w:lang w:bidi="ar-IQ"/>
        </w:rPr>
        <w:t xml:space="preserve"> in each range of FBS</w:t>
      </w:r>
      <w:r w:rsidR="009B7EC9" w:rsidRPr="00413F4E">
        <w:rPr>
          <w:rFonts w:asciiTheme="majorBidi" w:hAnsiTheme="majorBidi" w:cstheme="majorBidi"/>
          <w:sz w:val="24"/>
          <w:szCs w:val="24"/>
          <w:lang w:bidi="ar-IQ"/>
        </w:rPr>
        <w:t>.</w:t>
      </w:r>
      <w:r w:rsidR="00CF321D" w:rsidRPr="00413F4E">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Then the mean HbA1c of patients with severe hyper</w:t>
      </w:r>
      <w:r w:rsidR="0039703F" w:rsidRPr="00413F4E">
        <w:rPr>
          <w:rFonts w:asciiTheme="majorBidi" w:hAnsiTheme="majorBidi" w:cstheme="majorBidi"/>
          <w:sz w:val="24"/>
          <w:szCs w:val="24"/>
          <w:lang w:bidi="ar-IQ"/>
        </w:rPr>
        <w:t>triglyceridemia was measured in</w:t>
      </w:r>
      <w:r w:rsidR="00C82B22" w:rsidRPr="00413F4E">
        <w:rPr>
          <w:rFonts w:asciiTheme="majorBidi" w:hAnsiTheme="majorBidi" w:cstheme="majorBidi"/>
          <w:sz w:val="24"/>
          <w:szCs w:val="24"/>
          <w:lang w:bidi="ar-IQ"/>
        </w:rPr>
        <w:t xml:space="preserve"> each FBS range and compared to the mean HbA1c of patients with normal triglycerides levels in the same FBS range to determine the impact of severe hypertriglyceridemia on readings of HbA1c</w:t>
      </w:r>
      <w:r w:rsidR="00F119DF" w:rsidRPr="00413F4E">
        <w:rPr>
          <w:rFonts w:asciiTheme="majorBidi" w:hAnsiTheme="majorBidi" w:cstheme="majorBidi"/>
          <w:sz w:val="24"/>
          <w:szCs w:val="24"/>
          <w:lang w:bidi="ar-IQ"/>
        </w:rPr>
        <w:t xml:space="preserve"> test</w:t>
      </w:r>
      <w:r w:rsidR="00C82B22" w:rsidRPr="00413F4E">
        <w:rPr>
          <w:rFonts w:asciiTheme="majorBidi" w:hAnsiTheme="majorBidi" w:cstheme="majorBidi"/>
          <w:sz w:val="24"/>
          <w:szCs w:val="24"/>
          <w:lang w:bidi="ar-IQ"/>
        </w:rPr>
        <w:t xml:space="preserve"> in diabetic patients (type 2).</w:t>
      </w:r>
      <w:r w:rsidR="005D78A9">
        <w:rPr>
          <w:rFonts w:asciiTheme="majorBidi" w:hAnsiTheme="majorBidi" w:cstheme="majorBidi"/>
          <w:sz w:val="24"/>
          <w:szCs w:val="24"/>
          <w:lang w:bidi="ar-IQ"/>
        </w:rPr>
        <w:t xml:space="preserve"> </w:t>
      </w:r>
      <w:r w:rsidR="00C82B22" w:rsidRPr="00413F4E">
        <w:rPr>
          <w:rFonts w:asciiTheme="majorBidi" w:hAnsiTheme="majorBidi" w:cstheme="majorBidi"/>
          <w:sz w:val="24"/>
          <w:szCs w:val="24"/>
          <w:lang w:bidi="ar-IQ"/>
        </w:rPr>
        <w:t>Patients with conditions, other than severe hypertriglyceridemia, that affect or may affect the HbA1c test results (</w:t>
      </w:r>
      <w:r w:rsidR="00CF321D" w:rsidRPr="00413F4E">
        <w:rPr>
          <w:rFonts w:asciiTheme="majorBidi" w:hAnsiTheme="majorBidi" w:cstheme="majorBidi"/>
          <w:sz w:val="24"/>
          <w:szCs w:val="24"/>
          <w:lang w:bidi="ar-IQ"/>
        </w:rPr>
        <w:t xml:space="preserve">anemia, hemoglobinopathies, acute blood loss within three months, blood transfusion within three months, </w:t>
      </w:r>
      <w:r w:rsidR="00CF321D" w:rsidRPr="00413F4E">
        <w:rPr>
          <w:rFonts w:asciiTheme="majorBidi" w:hAnsiTheme="majorBidi" w:cstheme="majorBidi"/>
          <w:sz w:val="24"/>
          <w:szCs w:val="24"/>
          <w:shd w:val="clear" w:color="auto" w:fill="FFFFFF"/>
        </w:rPr>
        <w:t xml:space="preserve">chronic ingestion of alcohol, salicylates, </w:t>
      </w:r>
      <w:r w:rsidR="00CF321D" w:rsidRPr="00413F4E">
        <w:rPr>
          <w:rFonts w:asciiTheme="majorBidi" w:hAnsiTheme="majorBidi" w:cstheme="majorBidi"/>
          <w:sz w:val="24"/>
          <w:szCs w:val="24"/>
          <w:shd w:val="clear" w:color="auto" w:fill="FFFFFF"/>
        </w:rPr>
        <w:t>opioids,</w:t>
      </w:r>
      <w:r w:rsidR="00CF321D" w:rsidRPr="00413F4E">
        <w:rPr>
          <w:rFonts w:asciiTheme="majorBidi" w:hAnsiTheme="majorBidi" w:cstheme="majorBidi"/>
          <w:sz w:val="24"/>
          <w:szCs w:val="24"/>
          <w:lang w:bidi="ar-IQ"/>
        </w:rPr>
        <w:t xml:space="preserve"> and high doses of vitamins A and C, chronic kidney disease, chronic liver disease, HIV on antiretroviral therapy, pregnancy, hypersplenism, hypertriglyceridemia and hyperbilirubinemia</w:t>
      </w:r>
      <w:r w:rsidR="00C82B22" w:rsidRPr="00413F4E">
        <w:rPr>
          <w:rFonts w:asciiTheme="majorBidi" w:hAnsiTheme="majorBidi" w:cstheme="majorBidi"/>
          <w:sz w:val="24"/>
          <w:szCs w:val="24"/>
          <w:lang w:bidi="ar-IQ"/>
        </w:rPr>
        <w:t>)</w:t>
      </w:r>
      <w:r w:rsidR="005D78A9">
        <w:rPr>
          <w:rFonts w:asciiTheme="majorBidi" w:hAnsiTheme="majorBidi" w:cstheme="majorBidi"/>
          <w:sz w:val="24"/>
          <w:szCs w:val="24"/>
          <w:vertAlign w:val="superscript"/>
          <w:lang w:bidi="ar-IQ"/>
        </w:rPr>
        <w:t>5</w:t>
      </w:r>
      <w:r w:rsidR="00C82B22" w:rsidRPr="00413F4E">
        <w:rPr>
          <w:rFonts w:asciiTheme="majorBidi" w:hAnsiTheme="majorBidi" w:cstheme="majorBidi"/>
          <w:sz w:val="24"/>
          <w:szCs w:val="24"/>
          <w:lang w:bidi="ar-IQ"/>
        </w:rPr>
        <w:t xml:space="preserve"> have been excluded from the study.</w:t>
      </w:r>
      <w:r w:rsidR="005D78A9">
        <w:rPr>
          <w:rFonts w:asciiTheme="majorBidi" w:hAnsiTheme="majorBidi" w:cstheme="majorBidi"/>
          <w:sz w:val="24"/>
          <w:szCs w:val="24"/>
          <w:lang w:bidi="ar-IQ"/>
        </w:rPr>
        <w:t xml:space="preserve"> </w:t>
      </w:r>
      <w:r w:rsidR="00DB20F1" w:rsidRPr="00413F4E">
        <w:rPr>
          <w:rFonts w:asciiTheme="majorBidi" w:eastAsia="Times New Roman" w:hAnsiTheme="majorBidi" w:cstheme="majorBidi"/>
          <w:color w:val="000000"/>
          <w:sz w:val="24"/>
          <w:szCs w:val="24"/>
        </w:rPr>
        <w:t xml:space="preserve">The </w:t>
      </w:r>
      <w:r w:rsidR="00C82B22" w:rsidRPr="00413F4E">
        <w:rPr>
          <w:rFonts w:asciiTheme="majorBidi" w:eastAsia="Times New Roman" w:hAnsiTheme="majorBidi" w:cstheme="majorBidi"/>
          <w:color w:val="000000"/>
          <w:sz w:val="24"/>
          <w:szCs w:val="24"/>
        </w:rPr>
        <w:t xml:space="preserve">Continuous variables have been summarized by using descriptive statistics presented as mean and SD. Categorical variables have been summarized by using counts and </w:t>
      </w:r>
      <w:r w:rsidR="00DB20F1" w:rsidRPr="00413F4E">
        <w:rPr>
          <w:rFonts w:asciiTheme="majorBidi" w:eastAsia="Times New Roman" w:hAnsiTheme="majorBidi" w:cstheme="majorBidi"/>
          <w:color w:val="000000"/>
          <w:sz w:val="24"/>
          <w:szCs w:val="24"/>
        </w:rPr>
        <w:t>percentages. This</w:t>
      </w:r>
      <w:r w:rsidR="00C82B22" w:rsidRPr="00413F4E">
        <w:rPr>
          <w:rFonts w:asciiTheme="majorBidi" w:eastAsia="Times New Roman" w:hAnsiTheme="majorBidi" w:cstheme="majorBidi"/>
          <w:color w:val="000000"/>
          <w:sz w:val="24"/>
          <w:szCs w:val="24"/>
        </w:rPr>
        <w:t xml:space="preserve"> study has considered the two-tailed probability values with </w:t>
      </w:r>
      <w:r w:rsidR="007E2A0F" w:rsidRPr="00413F4E">
        <w:rPr>
          <w:rFonts w:asciiTheme="majorBidi" w:eastAsia="Times New Roman" w:hAnsiTheme="majorBidi" w:cstheme="majorBidi"/>
          <w:color w:val="000000"/>
          <w:sz w:val="24"/>
          <w:szCs w:val="24"/>
        </w:rPr>
        <w:t>(p</w:t>
      </w:r>
      <w:r w:rsidR="00C82B22" w:rsidRPr="00413F4E">
        <w:rPr>
          <w:rFonts w:asciiTheme="majorBidi" w:eastAsia="Times New Roman" w:hAnsiTheme="majorBidi" w:cstheme="majorBidi"/>
          <w:color w:val="000000"/>
          <w:sz w:val="24"/>
          <w:szCs w:val="24"/>
        </w:rPr>
        <w:t xml:space="preserve"> ≤ </w:t>
      </w:r>
      <w:r w:rsidR="007E2A0F" w:rsidRPr="00413F4E">
        <w:rPr>
          <w:rFonts w:asciiTheme="majorBidi" w:eastAsia="Times New Roman" w:hAnsiTheme="majorBidi" w:cstheme="majorBidi"/>
          <w:color w:val="000000"/>
          <w:sz w:val="24"/>
          <w:szCs w:val="24"/>
        </w:rPr>
        <w:t>0.05)</w:t>
      </w:r>
      <w:r w:rsidR="00C82B22" w:rsidRPr="00413F4E">
        <w:rPr>
          <w:rFonts w:asciiTheme="majorBidi" w:eastAsia="Times New Roman" w:hAnsiTheme="majorBidi" w:cstheme="majorBidi"/>
          <w:color w:val="000000"/>
          <w:sz w:val="24"/>
          <w:szCs w:val="24"/>
        </w:rPr>
        <w:t xml:space="preserve"> to be statistically significant.</w:t>
      </w:r>
      <w:r w:rsidR="00DB20F1" w:rsidRPr="00413F4E">
        <w:rPr>
          <w:rFonts w:asciiTheme="majorBidi" w:eastAsia="Times New Roman" w:hAnsiTheme="majorBidi" w:cstheme="majorBidi"/>
          <w:sz w:val="24"/>
          <w:szCs w:val="24"/>
        </w:rPr>
        <w:t xml:space="preserve"> </w:t>
      </w:r>
      <w:r w:rsidR="00C82B22" w:rsidRPr="00413F4E">
        <w:rPr>
          <w:rFonts w:asciiTheme="majorBidi" w:eastAsia="Times New Roman" w:hAnsiTheme="majorBidi" w:cstheme="majorBidi"/>
          <w:color w:val="000000"/>
          <w:sz w:val="24"/>
          <w:szCs w:val="24"/>
        </w:rPr>
        <w:t>All statistical calculations were performed with IBM SPSS Statistics 26 for Windows.</w:t>
      </w:r>
    </w:p>
    <w:p w14:paraId="12870538" w14:textId="60DFFE3F" w:rsidR="00A26EA2" w:rsidRPr="00413F4E" w:rsidRDefault="00A26EA2" w:rsidP="00396FBD">
      <w:pPr>
        <w:bidi w:val="0"/>
        <w:spacing w:after="0"/>
        <w:ind w:right="51"/>
        <w:jc w:val="both"/>
        <w:rPr>
          <w:rFonts w:asciiTheme="majorBidi" w:eastAsia="Times New Roman" w:hAnsiTheme="majorBidi" w:cstheme="majorBidi"/>
          <w:sz w:val="24"/>
          <w:szCs w:val="24"/>
        </w:rPr>
      </w:pPr>
    </w:p>
    <w:p w14:paraId="55F8F5B3" w14:textId="0FA41A79" w:rsidR="001E7B86" w:rsidRPr="005D78A9" w:rsidRDefault="00C82B22" w:rsidP="00396FBD">
      <w:pPr>
        <w:tabs>
          <w:tab w:val="left" w:pos="3225"/>
        </w:tabs>
        <w:bidi w:val="0"/>
        <w:spacing w:after="0"/>
        <w:ind w:right="51"/>
        <w:jc w:val="both"/>
        <w:rPr>
          <w:rFonts w:ascii="Arial Black" w:hAnsi="Arial Black" w:cstheme="majorBidi"/>
          <w:sz w:val="24"/>
          <w:szCs w:val="24"/>
          <w:lang w:bidi="ar-IQ"/>
        </w:rPr>
      </w:pPr>
      <w:r w:rsidRPr="005D78A9">
        <w:rPr>
          <w:rFonts w:ascii="Arial Black" w:hAnsi="Arial Black" w:cstheme="majorBidi"/>
          <w:sz w:val="24"/>
          <w:szCs w:val="24"/>
          <w:lang w:bidi="ar-IQ"/>
        </w:rPr>
        <w:t>Results</w:t>
      </w:r>
    </w:p>
    <w:p w14:paraId="4AF6BE93" w14:textId="31D54375" w:rsidR="007D6989" w:rsidRPr="00413F4E" w:rsidRDefault="00C82B22" w:rsidP="00396FBD">
      <w:pPr>
        <w:tabs>
          <w:tab w:val="left" w:pos="3225"/>
        </w:tabs>
        <w:bidi w:val="0"/>
        <w:ind w:right="51"/>
        <w:jc w:val="both"/>
        <w:rPr>
          <w:rFonts w:asciiTheme="majorBidi" w:hAnsiTheme="majorBidi" w:cstheme="majorBidi"/>
          <w:b/>
          <w:bCs/>
          <w:sz w:val="24"/>
          <w:szCs w:val="24"/>
          <w:lang w:bidi="ar-IQ"/>
        </w:rPr>
      </w:pPr>
      <w:r w:rsidRPr="00413F4E">
        <w:rPr>
          <w:rFonts w:asciiTheme="majorBidi" w:hAnsiTheme="majorBidi" w:cstheme="majorBidi"/>
          <w:sz w:val="24"/>
          <w:szCs w:val="24"/>
          <w:lang w:bidi="ar-IQ"/>
        </w:rPr>
        <w:t xml:space="preserve">Both groups (those with normal triglycerides levels and those with severe hypertriglyceridemia) were divided into sub-groups each one with </w:t>
      </w:r>
      <w:r w:rsidR="00A25ABB" w:rsidRPr="00413F4E">
        <w:rPr>
          <w:rFonts w:asciiTheme="majorBidi" w:hAnsiTheme="majorBidi" w:cstheme="majorBidi"/>
          <w:sz w:val="24"/>
          <w:szCs w:val="24"/>
          <w:lang w:bidi="ar-IQ"/>
        </w:rPr>
        <w:t>its</w:t>
      </w:r>
      <w:r w:rsidRPr="00413F4E">
        <w:rPr>
          <w:rFonts w:asciiTheme="majorBidi" w:hAnsiTheme="majorBidi" w:cstheme="majorBidi"/>
          <w:sz w:val="24"/>
          <w:szCs w:val="24"/>
          <w:lang w:bidi="ar-IQ"/>
        </w:rPr>
        <w:t xml:space="preserve"> specific FBS range. The mean FBS and the mean HbA1c were measured in each sub</w:t>
      </w:r>
      <w:r w:rsidR="000C4695" w:rsidRPr="00413F4E">
        <w:rPr>
          <w:rFonts w:asciiTheme="majorBidi" w:hAnsiTheme="majorBidi" w:cstheme="majorBidi"/>
          <w:sz w:val="24"/>
          <w:szCs w:val="24"/>
          <w:lang w:bidi="ar-IQ"/>
        </w:rPr>
        <w:t>-</w:t>
      </w:r>
      <w:r w:rsidRPr="00413F4E">
        <w:rPr>
          <w:rFonts w:asciiTheme="majorBidi" w:hAnsiTheme="majorBidi" w:cstheme="majorBidi"/>
          <w:sz w:val="24"/>
          <w:szCs w:val="24"/>
          <w:lang w:bidi="ar-IQ"/>
        </w:rPr>
        <w:t>group</w:t>
      </w:r>
      <w:r w:rsidR="005D78A9">
        <w:rPr>
          <w:rFonts w:asciiTheme="majorBidi" w:hAnsiTheme="majorBidi" w:cstheme="majorBidi"/>
          <w:sz w:val="24"/>
          <w:szCs w:val="24"/>
          <w:lang w:bidi="ar-IQ"/>
        </w:rPr>
        <w:t>,</w:t>
      </w:r>
      <w:r w:rsidRPr="00413F4E">
        <w:rPr>
          <w:rFonts w:asciiTheme="majorBidi" w:hAnsiTheme="majorBidi" w:cstheme="majorBidi"/>
          <w:sz w:val="24"/>
          <w:szCs w:val="24"/>
          <w:lang w:bidi="ar-IQ"/>
        </w:rPr>
        <w:t xml:space="preserve"> </w:t>
      </w:r>
      <w:r w:rsidRPr="005D78A9">
        <w:rPr>
          <w:rFonts w:asciiTheme="majorBidi" w:hAnsiTheme="majorBidi" w:cstheme="majorBidi"/>
          <w:sz w:val="24"/>
          <w:szCs w:val="24"/>
          <w:lang w:bidi="ar-IQ"/>
        </w:rPr>
        <w:t>(Table</w:t>
      </w:r>
      <w:r w:rsidR="005D78A9">
        <w:rPr>
          <w:rFonts w:asciiTheme="majorBidi" w:hAnsiTheme="majorBidi" w:cstheme="majorBidi"/>
          <w:sz w:val="24"/>
          <w:szCs w:val="24"/>
          <w:lang w:bidi="ar-IQ"/>
        </w:rPr>
        <w:t>-</w:t>
      </w:r>
      <w:r w:rsidR="00353C08" w:rsidRPr="005D78A9">
        <w:rPr>
          <w:rFonts w:asciiTheme="majorBidi" w:hAnsiTheme="majorBidi" w:cstheme="majorBidi"/>
          <w:sz w:val="24"/>
          <w:szCs w:val="24"/>
          <w:lang w:bidi="ar-IQ"/>
        </w:rPr>
        <w:t>1</w:t>
      </w:r>
      <w:r w:rsidRPr="005D78A9">
        <w:rPr>
          <w:rFonts w:asciiTheme="majorBidi" w:hAnsiTheme="majorBidi" w:cstheme="majorBidi"/>
          <w:sz w:val="24"/>
          <w:szCs w:val="24"/>
          <w:lang w:bidi="ar-IQ"/>
        </w:rPr>
        <w:t>).</w:t>
      </w:r>
    </w:p>
    <w:p w14:paraId="259F710B" w14:textId="77777777" w:rsidR="00AA142F" w:rsidRDefault="00AA142F" w:rsidP="00396FBD">
      <w:pPr>
        <w:tabs>
          <w:tab w:val="left" w:pos="3225"/>
        </w:tabs>
        <w:bidi w:val="0"/>
        <w:ind w:right="51"/>
        <w:jc w:val="both"/>
        <w:rPr>
          <w:rFonts w:asciiTheme="majorBidi" w:hAnsiTheme="majorBidi" w:cstheme="majorBidi"/>
          <w:b/>
          <w:bCs/>
          <w:sz w:val="20"/>
          <w:szCs w:val="20"/>
        </w:rPr>
      </w:pPr>
    </w:p>
    <w:p w14:paraId="52E334A4" w14:textId="71675E74" w:rsidR="00AA142F" w:rsidRDefault="00AA142F" w:rsidP="00AA142F">
      <w:pPr>
        <w:tabs>
          <w:tab w:val="left" w:pos="3225"/>
        </w:tabs>
        <w:bidi w:val="0"/>
        <w:ind w:right="51"/>
        <w:jc w:val="both"/>
        <w:rPr>
          <w:rFonts w:asciiTheme="majorBidi" w:hAnsiTheme="majorBidi" w:cstheme="majorBidi"/>
          <w:b/>
          <w:bCs/>
          <w:sz w:val="20"/>
          <w:szCs w:val="20"/>
        </w:rPr>
        <w:sectPr w:rsidR="00AA142F" w:rsidSect="005E34B1">
          <w:headerReference w:type="default" r:id="rId14"/>
          <w:type w:val="continuous"/>
          <w:pgSz w:w="12242" w:h="15842" w:code="1"/>
          <w:pgMar w:top="1134" w:right="1134" w:bottom="1134" w:left="1134" w:header="1134" w:footer="567" w:gutter="0"/>
          <w:pgNumType w:start="163"/>
          <w:cols w:num="2" w:space="567"/>
          <w:docGrid w:linePitch="360"/>
        </w:sectPr>
      </w:pPr>
    </w:p>
    <w:p w14:paraId="21DCEDF9" w14:textId="77777777" w:rsidR="00AA142F" w:rsidRDefault="00AA142F" w:rsidP="00396FBD">
      <w:pPr>
        <w:tabs>
          <w:tab w:val="left" w:pos="3225"/>
        </w:tabs>
        <w:bidi w:val="0"/>
        <w:ind w:right="51"/>
        <w:jc w:val="both"/>
        <w:rPr>
          <w:rFonts w:asciiTheme="majorBidi" w:hAnsiTheme="majorBidi" w:cstheme="majorBidi"/>
          <w:b/>
          <w:bCs/>
          <w:sz w:val="20"/>
          <w:szCs w:val="20"/>
        </w:rPr>
      </w:pPr>
    </w:p>
    <w:p w14:paraId="76F9F27A" w14:textId="61AB616F" w:rsidR="00DA225B" w:rsidRPr="00F66503" w:rsidRDefault="00DA225B" w:rsidP="00AA142F">
      <w:pPr>
        <w:tabs>
          <w:tab w:val="left" w:pos="3225"/>
        </w:tabs>
        <w:bidi w:val="0"/>
        <w:ind w:right="51"/>
        <w:jc w:val="both"/>
        <w:rPr>
          <w:rFonts w:asciiTheme="majorBidi" w:hAnsiTheme="majorBidi" w:cstheme="majorBidi"/>
          <w:sz w:val="20"/>
          <w:szCs w:val="20"/>
          <w:lang w:bidi="ar-IQ"/>
        </w:rPr>
      </w:pPr>
      <w:r w:rsidRPr="005D78A9">
        <w:rPr>
          <w:rFonts w:asciiTheme="majorBidi" w:hAnsiTheme="majorBidi" w:cstheme="majorBidi"/>
          <w:b/>
          <w:bCs/>
          <w:sz w:val="20"/>
          <w:szCs w:val="20"/>
        </w:rPr>
        <w:t xml:space="preserve">Table </w:t>
      </w:r>
      <w:r w:rsidR="00353C08" w:rsidRPr="005D78A9">
        <w:rPr>
          <w:rFonts w:asciiTheme="majorBidi" w:hAnsiTheme="majorBidi" w:cstheme="majorBidi"/>
          <w:b/>
          <w:bCs/>
          <w:sz w:val="20"/>
          <w:szCs w:val="20"/>
        </w:rPr>
        <w:t>1</w:t>
      </w:r>
      <w:r w:rsidR="00F66503">
        <w:rPr>
          <w:rFonts w:asciiTheme="majorBidi" w:hAnsiTheme="majorBidi" w:cstheme="majorBidi"/>
          <w:b/>
          <w:bCs/>
          <w:sz w:val="20"/>
          <w:szCs w:val="20"/>
        </w:rPr>
        <w:t>.</w:t>
      </w:r>
      <w:r w:rsidRPr="005D78A9">
        <w:rPr>
          <w:rFonts w:asciiTheme="majorBidi" w:hAnsiTheme="majorBidi" w:cstheme="majorBidi"/>
          <w:b/>
          <w:bCs/>
          <w:sz w:val="20"/>
          <w:szCs w:val="20"/>
        </w:rPr>
        <w:t xml:space="preserve"> </w:t>
      </w:r>
      <w:r w:rsidRPr="00F66503">
        <w:rPr>
          <w:rFonts w:asciiTheme="majorBidi" w:hAnsiTheme="majorBidi" w:cstheme="majorBidi"/>
          <w:sz w:val="20"/>
          <w:szCs w:val="20"/>
        </w:rPr>
        <w:t>Variation of HbA1c in normal triglycerides and severe hypertriglyceridemia groups adjusted to FBS</w:t>
      </w:r>
    </w:p>
    <w:tbl>
      <w:tblPr>
        <w:tblStyle w:val="TableGrid"/>
        <w:tblW w:w="9828" w:type="dxa"/>
        <w:tblLayout w:type="fixed"/>
        <w:tblLook w:val="04A0" w:firstRow="1" w:lastRow="0" w:firstColumn="1" w:lastColumn="0" w:noHBand="0" w:noVBand="1"/>
      </w:tblPr>
      <w:tblGrid>
        <w:gridCol w:w="846"/>
        <w:gridCol w:w="567"/>
        <w:gridCol w:w="709"/>
        <w:gridCol w:w="567"/>
        <w:gridCol w:w="850"/>
        <w:gridCol w:w="567"/>
        <w:gridCol w:w="709"/>
        <w:gridCol w:w="945"/>
        <w:gridCol w:w="756"/>
        <w:gridCol w:w="850"/>
        <w:gridCol w:w="709"/>
        <w:gridCol w:w="763"/>
        <w:gridCol w:w="990"/>
      </w:tblGrid>
      <w:tr w:rsidR="00DA225B" w:rsidRPr="00F66503" w14:paraId="02C7E4AD" w14:textId="77777777" w:rsidTr="00F66503">
        <w:trPr>
          <w:trHeight w:val="620"/>
        </w:trPr>
        <w:tc>
          <w:tcPr>
            <w:tcW w:w="846" w:type="dxa"/>
            <w:vMerge w:val="restart"/>
            <w:shd w:val="clear" w:color="auto" w:fill="C00000"/>
            <w:vAlign w:val="center"/>
          </w:tcPr>
          <w:p w14:paraId="6DD833CB" w14:textId="77777777" w:rsidR="00DA225B" w:rsidRPr="00F66503" w:rsidRDefault="00DA225B" w:rsidP="00F66503">
            <w:pPr>
              <w:spacing w:after="0"/>
              <w:ind w:right="51"/>
              <w:jc w:val="center"/>
              <w:rPr>
                <w:rFonts w:asciiTheme="majorBidi" w:hAnsiTheme="majorBidi" w:cstheme="majorBidi"/>
                <w:b/>
                <w:bCs/>
                <w:sz w:val="16"/>
                <w:szCs w:val="16"/>
              </w:rPr>
            </w:pPr>
            <w:proofErr w:type="gramStart"/>
            <w:r w:rsidRPr="00F66503">
              <w:rPr>
                <w:rFonts w:asciiTheme="majorBidi" w:hAnsiTheme="majorBidi" w:cstheme="majorBidi"/>
                <w:b/>
                <w:bCs/>
                <w:sz w:val="16"/>
                <w:szCs w:val="16"/>
              </w:rPr>
              <w:t xml:space="preserve">FBS </w:t>
            </w:r>
            <w:r w:rsidR="00022E6B" w:rsidRPr="00F66503">
              <w:rPr>
                <w:rFonts w:asciiTheme="majorBidi" w:hAnsiTheme="majorBidi" w:cstheme="majorBidi"/>
                <w:b/>
                <w:bCs/>
                <w:sz w:val="16"/>
                <w:szCs w:val="16"/>
              </w:rPr>
              <w:t xml:space="preserve"> </w:t>
            </w:r>
            <w:r w:rsidRPr="00F66503">
              <w:rPr>
                <w:rFonts w:asciiTheme="majorBidi" w:hAnsiTheme="majorBidi" w:cstheme="majorBidi"/>
                <w:b/>
                <w:bCs/>
                <w:sz w:val="16"/>
                <w:szCs w:val="16"/>
              </w:rPr>
              <w:t>(</w:t>
            </w:r>
            <w:proofErr w:type="gramEnd"/>
            <w:r w:rsidRPr="00F66503">
              <w:rPr>
                <w:rFonts w:asciiTheme="majorBidi" w:hAnsiTheme="majorBidi" w:cstheme="majorBidi"/>
                <w:b/>
                <w:bCs/>
                <w:sz w:val="16"/>
                <w:szCs w:val="16"/>
              </w:rPr>
              <w:t>Mg/dl)</w:t>
            </w:r>
          </w:p>
        </w:tc>
        <w:tc>
          <w:tcPr>
            <w:tcW w:w="3260" w:type="dxa"/>
            <w:gridSpan w:val="5"/>
            <w:shd w:val="clear" w:color="auto" w:fill="C00000"/>
            <w:vAlign w:val="center"/>
          </w:tcPr>
          <w:p w14:paraId="1A47EE28" w14:textId="77777777" w:rsidR="00DA225B" w:rsidRPr="00F66503" w:rsidRDefault="00DA225B" w:rsidP="00F66503">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Patients with normal triglycerides Levels</w:t>
            </w:r>
          </w:p>
        </w:tc>
        <w:tc>
          <w:tcPr>
            <w:tcW w:w="3969" w:type="dxa"/>
            <w:gridSpan w:val="5"/>
            <w:shd w:val="clear" w:color="auto" w:fill="C00000"/>
            <w:vAlign w:val="center"/>
          </w:tcPr>
          <w:p w14:paraId="54882E4D" w14:textId="77777777" w:rsidR="00DA225B" w:rsidRPr="00F66503" w:rsidRDefault="00DA225B" w:rsidP="00F66503">
            <w:pPr>
              <w:spacing w:after="0"/>
              <w:ind w:right="51"/>
              <w:jc w:val="center"/>
              <w:rPr>
                <w:rFonts w:asciiTheme="majorBidi" w:hAnsiTheme="majorBidi" w:cstheme="majorBidi"/>
                <w:b/>
                <w:bCs/>
                <w:sz w:val="16"/>
                <w:szCs w:val="16"/>
                <w:rtl/>
                <w:lang w:bidi="ar-IQ"/>
              </w:rPr>
            </w:pPr>
            <w:r w:rsidRPr="00F66503">
              <w:rPr>
                <w:rFonts w:asciiTheme="majorBidi" w:hAnsiTheme="majorBidi" w:cstheme="majorBidi"/>
                <w:b/>
                <w:bCs/>
                <w:sz w:val="16"/>
                <w:szCs w:val="16"/>
              </w:rPr>
              <w:t>Patients with severe hypertriglyceridemia</w:t>
            </w:r>
          </w:p>
        </w:tc>
        <w:tc>
          <w:tcPr>
            <w:tcW w:w="763" w:type="dxa"/>
            <w:vMerge w:val="restart"/>
            <w:shd w:val="clear" w:color="auto" w:fill="C00000"/>
            <w:vAlign w:val="center"/>
          </w:tcPr>
          <w:p w14:paraId="07651B8A" w14:textId="77777777" w:rsidR="00DA225B" w:rsidRPr="00F66503" w:rsidRDefault="00DA225B" w:rsidP="00F66503">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P-value (FBS)</w:t>
            </w:r>
          </w:p>
        </w:tc>
        <w:tc>
          <w:tcPr>
            <w:tcW w:w="990" w:type="dxa"/>
            <w:vMerge w:val="restart"/>
            <w:shd w:val="clear" w:color="auto" w:fill="C00000"/>
            <w:vAlign w:val="center"/>
          </w:tcPr>
          <w:p w14:paraId="4CDE2F42" w14:textId="77777777" w:rsidR="00DA225B" w:rsidRPr="00F66503" w:rsidRDefault="00DA225B" w:rsidP="00F66503">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P-value (HbA1c)</w:t>
            </w:r>
          </w:p>
        </w:tc>
      </w:tr>
      <w:tr w:rsidR="00F66503" w:rsidRPr="00F66503" w14:paraId="7BAA91B4" w14:textId="77777777" w:rsidTr="00F66503">
        <w:tc>
          <w:tcPr>
            <w:tcW w:w="846" w:type="dxa"/>
            <w:vMerge/>
          </w:tcPr>
          <w:p w14:paraId="499C7153" w14:textId="77777777" w:rsidR="00DA225B" w:rsidRPr="00F66503" w:rsidRDefault="00DA225B" w:rsidP="00396FBD">
            <w:pPr>
              <w:spacing w:after="0"/>
              <w:ind w:right="51"/>
              <w:rPr>
                <w:rFonts w:asciiTheme="majorBidi" w:hAnsiTheme="majorBidi" w:cstheme="majorBidi"/>
                <w:sz w:val="16"/>
                <w:szCs w:val="16"/>
              </w:rPr>
            </w:pPr>
          </w:p>
        </w:tc>
        <w:tc>
          <w:tcPr>
            <w:tcW w:w="567" w:type="dxa"/>
            <w:shd w:val="clear" w:color="auto" w:fill="C00000"/>
          </w:tcPr>
          <w:p w14:paraId="11B46B01" w14:textId="609BE91E"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No</w:t>
            </w:r>
            <w:r w:rsidR="00F66503" w:rsidRPr="00F66503">
              <w:rPr>
                <w:rFonts w:asciiTheme="majorBidi" w:hAnsiTheme="majorBidi" w:cstheme="majorBidi"/>
                <w:b/>
                <w:bCs/>
                <w:sz w:val="16"/>
                <w:szCs w:val="16"/>
              </w:rPr>
              <w:t>.</w:t>
            </w:r>
          </w:p>
        </w:tc>
        <w:tc>
          <w:tcPr>
            <w:tcW w:w="709" w:type="dxa"/>
            <w:shd w:val="clear" w:color="auto" w:fill="C00000"/>
          </w:tcPr>
          <w:p w14:paraId="5179B46B"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Mean FBS</w:t>
            </w:r>
          </w:p>
        </w:tc>
        <w:tc>
          <w:tcPr>
            <w:tcW w:w="567" w:type="dxa"/>
            <w:shd w:val="clear" w:color="auto" w:fill="C00000"/>
          </w:tcPr>
          <w:p w14:paraId="450B4968"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 xml:space="preserve">SD </w:t>
            </w:r>
          </w:p>
        </w:tc>
        <w:tc>
          <w:tcPr>
            <w:tcW w:w="850" w:type="dxa"/>
            <w:shd w:val="clear" w:color="auto" w:fill="C00000"/>
          </w:tcPr>
          <w:p w14:paraId="5D0C0122" w14:textId="01195C0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Mean HbA1c</w:t>
            </w:r>
          </w:p>
        </w:tc>
        <w:tc>
          <w:tcPr>
            <w:tcW w:w="567" w:type="dxa"/>
            <w:shd w:val="clear" w:color="auto" w:fill="C00000"/>
          </w:tcPr>
          <w:p w14:paraId="309453D6"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SD</w:t>
            </w:r>
          </w:p>
        </w:tc>
        <w:tc>
          <w:tcPr>
            <w:tcW w:w="709" w:type="dxa"/>
            <w:shd w:val="clear" w:color="auto" w:fill="C00000"/>
          </w:tcPr>
          <w:p w14:paraId="45611474" w14:textId="40BA3603"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No</w:t>
            </w:r>
            <w:r w:rsidR="00F66503" w:rsidRPr="00F66503">
              <w:rPr>
                <w:rFonts w:asciiTheme="majorBidi" w:hAnsiTheme="majorBidi" w:cstheme="majorBidi"/>
                <w:b/>
                <w:bCs/>
                <w:sz w:val="16"/>
                <w:szCs w:val="16"/>
              </w:rPr>
              <w:t>.</w:t>
            </w:r>
          </w:p>
        </w:tc>
        <w:tc>
          <w:tcPr>
            <w:tcW w:w="945" w:type="dxa"/>
            <w:shd w:val="clear" w:color="auto" w:fill="C00000"/>
          </w:tcPr>
          <w:p w14:paraId="385A8C92"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 xml:space="preserve">Mean FBS </w:t>
            </w:r>
          </w:p>
        </w:tc>
        <w:tc>
          <w:tcPr>
            <w:tcW w:w="756" w:type="dxa"/>
            <w:shd w:val="clear" w:color="auto" w:fill="C00000"/>
          </w:tcPr>
          <w:p w14:paraId="04CF7C22"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 xml:space="preserve">SD </w:t>
            </w:r>
          </w:p>
        </w:tc>
        <w:tc>
          <w:tcPr>
            <w:tcW w:w="850" w:type="dxa"/>
            <w:shd w:val="clear" w:color="auto" w:fill="C00000"/>
          </w:tcPr>
          <w:p w14:paraId="26D9D595" w14:textId="163B2A54"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Mean HbA1c</w:t>
            </w:r>
          </w:p>
        </w:tc>
        <w:tc>
          <w:tcPr>
            <w:tcW w:w="709" w:type="dxa"/>
            <w:shd w:val="clear" w:color="auto" w:fill="C00000"/>
          </w:tcPr>
          <w:p w14:paraId="0DE37592"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 xml:space="preserve">SD </w:t>
            </w:r>
          </w:p>
        </w:tc>
        <w:tc>
          <w:tcPr>
            <w:tcW w:w="763" w:type="dxa"/>
            <w:vMerge/>
          </w:tcPr>
          <w:p w14:paraId="6A221D9B" w14:textId="77777777" w:rsidR="00DA225B" w:rsidRPr="00F66503" w:rsidRDefault="00DA225B" w:rsidP="00396FBD">
            <w:pPr>
              <w:spacing w:after="0"/>
              <w:ind w:right="51"/>
              <w:jc w:val="center"/>
              <w:rPr>
                <w:rFonts w:asciiTheme="majorBidi" w:hAnsiTheme="majorBidi" w:cstheme="majorBidi"/>
                <w:b/>
                <w:bCs/>
                <w:sz w:val="16"/>
                <w:szCs w:val="16"/>
              </w:rPr>
            </w:pPr>
          </w:p>
        </w:tc>
        <w:tc>
          <w:tcPr>
            <w:tcW w:w="990" w:type="dxa"/>
            <w:vMerge/>
          </w:tcPr>
          <w:p w14:paraId="39D6ACA9" w14:textId="77777777" w:rsidR="00DA225B" w:rsidRPr="00F66503" w:rsidRDefault="00DA225B" w:rsidP="00396FBD">
            <w:pPr>
              <w:spacing w:after="0"/>
              <w:ind w:right="51"/>
              <w:jc w:val="center"/>
              <w:rPr>
                <w:rFonts w:asciiTheme="majorBidi" w:hAnsiTheme="majorBidi" w:cstheme="majorBidi"/>
                <w:b/>
                <w:bCs/>
                <w:sz w:val="16"/>
                <w:szCs w:val="16"/>
              </w:rPr>
            </w:pPr>
          </w:p>
        </w:tc>
      </w:tr>
      <w:tr w:rsidR="00F66503" w:rsidRPr="00F66503" w14:paraId="0206286C" w14:textId="77777777" w:rsidTr="00F66503">
        <w:tc>
          <w:tcPr>
            <w:tcW w:w="846" w:type="dxa"/>
          </w:tcPr>
          <w:p w14:paraId="59A49D13"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72-129</w:t>
            </w:r>
          </w:p>
        </w:tc>
        <w:tc>
          <w:tcPr>
            <w:tcW w:w="567" w:type="dxa"/>
          </w:tcPr>
          <w:p w14:paraId="1B2AD75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68</w:t>
            </w:r>
          </w:p>
        </w:tc>
        <w:tc>
          <w:tcPr>
            <w:tcW w:w="709" w:type="dxa"/>
          </w:tcPr>
          <w:p w14:paraId="55930A1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111.6</w:t>
            </w:r>
          </w:p>
        </w:tc>
        <w:tc>
          <w:tcPr>
            <w:tcW w:w="567" w:type="dxa"/>
          </w:tcPr>
          <w:p w14:paraId="04F772D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12.5</w:t>
            </w:r>
          </w:p>
        </w:tc>
        <w:tc>
          <w:tcPr>
            <w:tcW w:w="850" w:type="dxa"/>
          </w:tcPr>
          <w:p w14:paraId="23FCA0E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7.16</w:t>
            </w:r>
          </w:p>
        </w:tc>
        <w:tc>
          <w:tcPr>
            <w:tcW w:w="567" w:type="dxa"/>
          </w:tcPr>
          <w:p w14:paraId="2DB69E9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1.47</w:t>
            </w:r>
          </w:p>
        </w:tc>
        <w:tc>
          <w:tcPr>
            <w:tcW w:w="709" w:type="dxa"/>
          </w:tcPr>
          <w:p w14:paraId="51EF797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8</w:t>
            </w:r>
          </w:p>
        </w:tc>
        <w:tc>
          <w:tcPr>
            <w:tcW w:w="945" w:type="dxa"/>
          </w:tcPr>
          <w:p w14:paraId="6B13F6A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114.0</w:t>
            </w:r>
          </w:p>
        </w:tc>
        <w:tc>
          <w:tcPr>
            <w:tcW w:w="756" w:type="dxa"/>
          </w:tcPr>
          <w:p w14:paraId="77E9C9B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18.6</w:t>
            </w:r>
          </w:p>
        </w:tc>
        <w:tc>
          <w:tcPr>
            <w:tcW w:w="850" w:type="dxa"/>
          </w:tcPr>
          <w:p w14:paraId="5EEB7C84"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8.16</w:t>
            </w:r>
          </w:p>
        </w:tc>
        <w:tc>
          <w:tcPr>
            <w:tcW w:w="709" w:type="dxa"/>
          </w:tcPr>
          <w:p w14:paraId="0B14BF7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1.95</w:t>
            </w:r>
          </w:p>
        </w:tc>
        <w:tc>
          <w:tcPr>
            <w:tcW w:w="763" w:type="dxa"/>
          </w:tcPr>
          <w:p w14:paraId="360277E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0.629</w:t>
            </w:r>
          </w:p>
        </w:tc>
        <w:tc>
          <w:tcPr>
            <w:tcW w:w="990" w:type="dxa"/>
          </w:tcPr>
          <w:p w14:paraId="17BE7E7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0.083</w:t>
            </w:r>
          </w:p>
        </w:tc>
      </w:tr>
      <w:tr w:rsidR="00F66503" w:rsidRPr="00F66503" w14:paraId="023CF17F" w14:textId="77777777" w:rsidTr="00F66503">
        <w:tc>
          <w:tcPr>
            <w:tcW w:w="846" w:type="dxa"/>
          </w:tcPr>
          <w:p w14:paraId="41496983"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130-149</w:t>
            </w:r>
          </w:p>
        </w:tc>
        <w:tc>
          <w:tcPr>
            <w:tcW w:w="567" w:type="dxa"/>
          </w:tcPr>
          <w:p w14:paraId="38619BD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56</w:t>
            </w:r>
          </w:p>
        </w:tc>
        <w:tc>
          <w:tcPr>
            <w:tcW w:w="709" w:type="dxa"/>
          </w:tcPr>
          <w:p w14:paraId="13A52C8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138.8</w:t>
            </w:r>
          </w:p>
        </w:tc>
        <w:tc>
          <w:tcPr>
            <w:tcW w:w="567" w:type="dxa"/>
          </w:tcPr>
          <w:p w14:paraId="42A9F63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5.6</w:t>
            </w:r>
          </w:p>
        </w:tc>
        <w:tc>
          <w:tcPr>
            <w:tcW w:w="850" w:type="dxa"/>
          </w:tcPr>
          <w:p w14:paraId="0D572DD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7.81</w:t>
            </w:r>
          </w:p>
        </w:tc>
        <w:tc>
          <w:tcPr>
            <w:tcW w:w="567" w:type="dxa"/>
          </w:tcPr>
          <w:p w14:paraId="6485673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1.28</w:t>
            </w:r>
          </w:p>
        </w:tc>
        <w:tc>
          <w:tcPr>
            <w:tcW w:w="709" w:type="dxa"/>
          </w:tcPr>
          <w:p w14:paraId="6CD697D4"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w:t>
            </w:r>
          </w:p>
        </w:tc>
        <w:tc>
          <w:tcPr>
            <w:tcW w:w="945" w:type="dxa"/>
          </w:tcPr>
          <w:p w14:paraId="7F8B85D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138.0</w:t>
            </w:r>
          </w:p>
        </w:tc>
        <w:tc>
          <w:tcPr>
            <w:tcW w:w="756" w:type="dxa"/>
          </w:tcPr>
          <w:p w14:paraId="269A839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6.0</w:t>
            </w:r>
          </w:p>
        </w:tc>
        <w:tc>
          <w:tcPr>
            <w:tcW w:w="850" w:type="dxa"/>
          </w:tcPr>
          <w:p w14:paraId="10B7F74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9.14</w:t>
            </w:r>
          </w:p>
        </w:tc>
        <w:tc>
          <w:tcPr>
            <w:tcW w:w="709" w:type="dxa"/>
          </w:tcPr>
          <w:p w14:paraId="7C961F14"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1.66</w:t>
            </w:r>
          </w:p>
        </w:tc>
        <w:tc>
          <w:tcPr>
            <w:tcW w:w="763" w:type="dxa"/>
          </w:tcPr>
          <w:p w14:paraId="26333CA0"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0.696</w:t>
            </w:r>
          </w:p>
        </w:tc>
        <w:tc>
          <w:tcPr>
            <w:tcW w:w="990" w:type="dxa"/>
          </w:tcPr>
          <w:p w14:paraId="16A9916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0.003</w:t>
            </w:r>
          </w:p>
        </w:tc>
      </w:tr>
      <w:tr w:rsidR="00F66503" w:rsidRPr="00F66503" w14:paraId="76EAA3AB" w14:textId="77777777" w:rsidTr="00F66503">
        <w:tc>
          <w:tcPr>
            <w:tcW w:w="846" w:type="dxa"/>
          </w:tcPr>
          <w:p w14:paraId="77094204"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150-169</w:t>
            </w:r>
          </w:p>
        </w:tc>
        <w:tc>
          <w:tcPr>
            <w:tcW w:w="567" w:type="dxa"/>
          </w:tcPr>
          <w:p w14:paraId="39368C1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48</w:t>
            </w:r>
          </w:p>
        </w:tc>
        <w:tc>
          <w:tcPr>
            <w:tcW w:w="709" w:type="dxa"/>
          </w:tcPr>
          <w:p w14:paraId="7CA929D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158.6</w:t>
            </w:r>
          </w:p>
        </w:tc>
        <w:tc>
          <w:tcPr>
            <w:tcW w:w="567" w:type="dxa"/>
          </w:tcPr>
          <w:p w14:paraId="00B714FF"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5.3</w:t>
            </w:r>
          </w:p>
        </w:tc>
        <w:tc>
          <w:tcPr>
            <w:tcW w:w="850" w:type="dxa"/>
          </w:tcPr>
          <w:p w14:paraId="0AAD1FB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8.51</w:t>
            </w:r>
          </w:p>
        </w:tc>
        <w:tc>
          <w:tcPr>
            <w:tcW w:w="567" w:type="dxa"/>
          </w:tcPr>
          <w:p w14:paraId="2EA6F90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1.24</w:t>
            </w:r>
          </w:p>
        </w:tc>
        <w:tc>
          <w:tcPr>
            <w:tcW w:w="709" w:type="dxa"/>
          </w:tcPr>
          <w:p w14:paraId="56ACCB2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17</w:t>
            </w:r>
          </w:p>
        </w:tc>
        <w:tc>
          <w:tcPr>
            <w:tcW w:w="945" w:type="dxa"/>
          </w:tcPr>
          <w:p w14:paraId="3DF9DF6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158.7</w:t>
            </w:r>
          </w:p>
        </w:tc>
        <w:tc>
          <w:tcPr>
            <w:tcW w:w="756" w:type="dxa"/>
          </w:tcPr>
          <w:p w14:paraId="35FB96B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4.4</w:t>
            </w:r>
          </w:p>
        </w:tc>
        <w:tc>
          <w:tcPr>
            <w:tcW w:w="850" w:type="dxa"/>
          </w:tcPr>
          <w:p w14:paraId="0FD16B0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8.92</w:t>
            </w:r>
          </w:p>
        </w:tc>
        <w:tc>
          <w:tcPr>
            <w:tcW w:w="709" w:type="dxa"/>
          </w:tcPr>
          <w:p w14:paraId="7002E99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1.60</w:t>
            </w:r>
          </w:p>
        </w:tc>
        <w:tc>
          <w:tcPr>
            <w:tcW w:w="763" w:type="dxa"/>
          </w:tcPr>
          <w:p w14:paraId="3AC92D9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0.947</w:t>
            </w:r>
          </w:p>
        </w:tc>
        <w:tc>
          <w:tcPr>
            <w:tcW w:w="990" w:type="dxa"/>
          </w:tcPr>
          <w:p w14:paraId="52E6AF94"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0.279</w:t>
            </w:r>
          </w:p>
        </w:tc>
      </w:tr>
      <w:tr w:rsidR="00F66503" w:rsidRPr="00F66503" w14:paraId="7E6A7ECC" w14:textId="77777777" w:rsidTr="00F66503">
        <w:tc>
          <w:tcPr>
            <w:tcW w:w="846" w:type="dxa"/>
          </w:tcPr>
          <w:p w14:paraId="2295CE56"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170-199</w:t>
            </w:r>
          </w:p>
        </w:tc>
        <w:tc>
          <w:tcPr>
            <w:tcW w:w="567" w:type="dxa"/>
          </w:tcPr>
          <w:p w14:paraId="68196C6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46</w:t>
            </w:r>
          </w:p>
        </w:tc>
        <w:tc>
          <w:tcPr>
            <w:tcW w:w="709" w:type="dxa"/>
          </w:tcPr>
          <w:p w14:paraId="3261210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183.02</w:t>
            </w:r>
          </w:p>
        </w:tc>
        <w:tc>
          <w:tcPr>
            <w:tcW w:w="567" w:type="dxa"/>
          </w:tcPr>
          <w:p w14:paraId="533D19C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9.22</w:t>
            </w:r>
          </w:p>
        </w:tc>
        <w:tc>
          <w:tcPr>
            <w:tcW w:w="850" w:type="dxa"/>
          </w:tcPr>
          <w:p w14:paraId="6A12DA6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9.30</w:t>
            </w:r>
          </w:p>
        </w:tc>
        <w:tc>
          <w:tcPr>
            <w:tcW w:w="567" w:type="dxa"/>
          </w:tcPr>
          <w:p w14:paraId="7050BB70"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0.95</w:t>
            </w:r>
          </w:p>
        </w:tc>
        <w:tc>
          <w:tcPr>
            <w:tcW w:w="709" w:type="dxa"/>
          </w:tcPr>
          <w:p w14:paraId="6433AFB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33</w:t>
            </w:r>
          </w:p>
        </w:tc>
        <w:tc>
          <w:tcPr>
            <w:tcW w:w="945" w:type="dxa"/>
          </w:tcPr>
          <w:p w14:paraId="2DE925BF"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186.4</w:t>
            </w:r>
          </w:p>
        </w:tc>
        <w:tc>
          <w:tcPr>
            <w:tcW w:w="756" w:type="dxa"/>
          </w:tcPr>
          <w:p w14:paraId="6459EC8C"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9.0</w:t>
            </w:r>
          </w:p>
        </w:tc>
        <w:tc>
          <w:tcPr>
            <w:tcW w:w="850" w:type="dxa"/>
          </w:tcPr>
          <w:p w14:paraId="68D4A0B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9.53</w:t>
            </w:r>
          </w:p>
        </w:tc>
        <w:tc>
          <w:tcPr>
            <w:tcW w:w="709" w:type="dxa"/>
          </w:tcPr>
          <w:p w14:paraId="4027190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1.53</w:t>
            </w:r>
          </w:p>
        </w:tc>
        <w:tc>
          <w:tcPr>
            <w:tcW w:w="763" w:type="dxa"/>
          </w:tcPr>
          <w:p w14:paraId="36F7D50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0.111</w:t>
            </w:r>
          </w:p>
        </w:tc>
        <w:tc>
          <w:tcPr>
            <w:tcW w:w="990" w:type="dxa"/>
          </w:tcPr>
          <w:p w14:paraId="5CB3F27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0.426</w:t>
            </w:r>
          </w:p>
        </w:tc>
      </w:tr>
      <w:tr w:rsidR="00F66503" w:rsidRPr="00F66503" w14:paraId="490AA337" w14:textId="77777777" w:rsidTr="00F66503">
        <w:tc>
          <w:tcPr>
            <w:tcW w:w="846" w:type="dxa"/>
          </w:tcPr>
          <w:p w14:paraId="568F4CB2"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200-229</w:t>
            </w:r>
          </w:p>
        </w:tc>
        <w:tc>
          <w:tcPr>
            <w:tcW w:w="567" w:type="dxa"/>
          </w:tcPr>
          <w:p w14:paraId="527E3AC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28</w:t>
            </w:r>
          </w:p>
        </w:tc>
        <w:tc>
          <w:tcPr>
            <w:tcW w:w="709" w:type="dxa"/>
          </w:tcPr>
          <w:p w14:paraId="4FA1D6A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214.6</w:t>
            </w:r>
          </w:p>
        </w:tc>
        <w:tc>
          <w:tcPr>
            <w:tcW w:w="567" w:type="dxa"/>
          </w:tcPr>
          <w:p w14:paraId="0EB3E5B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7.9</w:t>
            </w:r>
          </w:p>
        </w:tc>
        <w:tc>
          <w:tcPr>
            <w:tcW w:w="850" w:type="dxa"/>
          </w:tcPr>
          <w:p w14:paraId="268131D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10.82</w:t>
            </w:r>
          </w:p>
        </w:tc>
        <w:tc>
          <w:tcPr>
            <w:tcW w:w="567" w:type="dxa"/>
          </w:tcPr>
          <w:p w14:paraId="4560F49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1.31</w:t>
            </w:r>
          </w:p>
        </w:tc>
        <w:tc>
          <w:tcPr>
            <w:tcW w:w="709" w:type="dxa"/>
          </w:tcPr>
          <w:p w14:paraId="3393501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36</w:t>
            </w:r>
          </w:p>
        </w:tc>
        <w:tc>
          <w:tcPr>
            <w:tcW w:w="945" w:type="dxa"/>
          </w:tcPr>
          <w:p w14:paraId="357568E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215.5</w:t>
            </w:r>
          </w:p>
        </w:tc>
        <w:tc>
          <w:tcPr>
            <w:tcW w:w="756" w:type="dxa"/>
          </w:tcPr>
          <w:p w14:paraId="7445AC1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8.6</w:t>
            </w:r>
          </w:p>
        </w:tc>
        <w:tc>
          <w:tcPr>
            <w:tcW w:w="850" w:type="dxa"/>
          </w:tcPr>
          <w:p w14:paraId="2FE7260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9.80</w:t>
            </w:r>
          </w:p>
        </w:tc>
        <w:tc>
          <w:tcPr>
            <w:tcW w:w="709" w:type="dxa"/>
          </w:tcPr>
          <w:p w14:paraId="51AB8FC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1.47</w:t>
            </w:r>
          </w:p>
        </w:tc>
        <w:tc>
          <w:tcPr>
            <w:tcW w:w="763" w:type="dxa"/>
          </w:tcPr>
          <w:p w14:paraId="3DB76A9C"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0.666</w:t>
            </w:r>
          </w:p>
        </w:tc>
        <w:tc>
          <w:tcPr>
            <w:tcW w:w="990" w:type="dxa"/>
          </w:tcPr>
          <w:p w14:paraId="4081A7A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0.005</w:t>
            </w:r>
          </w:p>
        </w:tc>
      </w:tr>
      <w:tr w:rsidR="00F66503" w:rsidRPr="00F66503" w14:paraId="63DF88E8" w14:textId="77777777" w:rsidTr="00F66503">
        <w:tc>
          <w:tcPr>
            <w:tcW w:w="846" w:type="dxa"/>
          </w:tcPr>
          <w:p w14:paraId="38244920"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230-259</w:t>
            </w:r>
          </w:p>
        </w:tc>
        <w:tc>
          <w:tcPr>
            <w:tcW w:w="567" w:type="dxa"/>
          </w:tcPr>
          <w:p w14:paraId="631629C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27</w:t>
            </w:r>
          </w:p>
        </w:tc>
        <w:tc>
          <w:tcPr>
            <w:tcW w:w="709" w:type="dxa"/>
          </w:tcPr>
          <w:p w14:paraId="644E0A10"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242.07</w:t>
            </w:r>
          </w:p>
        </w:tc>
        <w:tc>
          <w:tcPr>
            <w:tcW w:w="567" w:type="dxa"/>
          </w:tcPr>
          <w:p w14:paraId="20E5064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9.76</w:t>
            </w:r>
          </w:p>
        </w:tc>
        <w:tc>
          <w:tcPr>
            <w:tcW w:w="850" w:type="dxa"/>
          </w:tcPr>
          <w:p w14:paraId="0D2F361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11.57</w:t>
            </w:r>
          </w:p>
        </w:tc>
        <w:tc>
          <w:tcPr>
            <w:tcW w:w="567" w:type="dxa"/>
          </w:tcPr>
          <w:p w14:paraId="673B488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1.07</w:t>
            </w:r>
          </w:p>
        </w:tc>
        <w:tc>
          <w:tcPr>
            <w:tcW w:w="709" w:type="dxa"/>
          </w:tcPr>
          <w:p w14:paraId="685A4F0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36</w:t>
            </w:r>
          </w:p>
        </w:tc>
        <w:tc>
          <w:tcPr>
            <w:tcW w:w="945" w:type="dxa"/>
          </w:tcPr>
          <w:p w14:paraId="6B961C7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245.78</w:t>
            </w:r>
          </w:p>
        </w:tc>
        <w:tc>
          <w:tcPr>
            <w:tcW w:w="756" w:type="dxa"/>
          </w:tcPr>
          <w:p w14:paraId="78CF4DD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9.62</w:t>
            </w:r>
          </w:p>
        </w:tc>
        <w:tc>
          <w:tcPr>
            <w:tcW w:w="850" w:type="dxa"/>
          </w:tcPr>
          <w:p w14:paraId="43EACD2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10.72</w:t>
            </w:r>
          </w:p>
        </w:tc>
        <w:tc>
          <w:tcPr>
            <w:tcW w:w="709" w:type="dxa"/>
          </w:tcPr>
          <w:p w14:paraId="21CD687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1.81</w:t>
            </w:r>
          </w:p>
        </w:tc>
        <w:tc>
          <w:tcPr>
            <w:tcW w:w="763" w:type="dxa"/>
          </w:tcPr>
          <w:p w14:paraId="602CD35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0.138</w:t>
            </w:r>
          </w:p>
        </w:tc>
        <w:tc>
          <w:tcPr>
            <w:tcW w:w="990" w:type="dxa"/>
          </w:tcPr>
          <w:p w14:paraId="32B4F9C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0.034</w:t>
            </w:r>
          </w:p>
        </w:tc>
      </w:tr>
      <w:tr w:rsidR="00F66503" w:rsidRPr="00F66503" w14:paraId="4580560D" w14:textId="77777777" w:rsidTr="00F66503">
        <w:tc>
          <w:tcPr>
            <w:tcW w:w="846" w:type="dxa"/>
          </w:tcPr>
          <w:p w14:paraId="119413E9"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260-299</w:t>
            </w:r>
          </w:p>
        </w:tc>
        <w:tc>
          <w:tcPr>
            <w:tcW w:w="567" w:type="dxa"/>
          </w:tcPr>
          <w:p w14:paraId="78CC8D2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22</w:t>
            </w:r>
          </w:p>
        </w:tc>
        <w:tc>
          <w:tcPr>
            <w:tcW w:w="709" w:type="dxa"/>
          </w:tcPr>
          <w:p w14:paraId="5A4F5A18"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281.0</w:t>
            </w:r>
          </w:p>
        </w:tc>
        <w:tc>
          <w:tcPr>
            <w:tcW w:w="567" w:type="dxa"/>
          </w:tcPr>
          <w:p w14:paraId="3140379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10.7</w:t>
            </w:r>
          </w:p>
        </w:tc>
        <w:tc>
          <w:tcPr>
            <w:tcW w:w="850" w:type="dxa"/>
          </w:tcPr>
          <w:p w14:paraId="07A172C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12.45</w:t>
            </w:r>
          </w:p>
        </w:tc>
        <w:tc>
          <w:tcPr>
            <w:tcW w:w="567" w:type="dxa"/>
          </w:tcPr>
          <w:p w14:paraId="57BCE46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0.78</w:t>
            </w:r>
          </w:p>
        </w:tc>
        <w:tc>
          <w:tcPr>
            <w:tcW w:w="709" w:type="dxa"/>
          </w:tcPr>
          <w:p w14:paraId="04923DE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36</w:t>
            </w:r>
          </w:p>
        </w:tc>
        <w:tc>
          <w:tcPr>
            <w:tcW w:w="945" w:type="dxa"/>
          </w:tcPr>
          <w:p w14:paraId="795D602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279.8</w:t>
            </w:r>
          </w:p>
        </w:tc>
        <w:tc>
          <w:tcPr>
            <w:tcW w:w="756" w:type="dxa"/>
          </w:tcPr>
          <w:p w14:paraId="0E3F33A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11.4</w:t>
            </w:r>
          </w:p>
        </w:tc>
        <w:tc>
          <w:tcPr>
            <w:tcW w:w="850" w:type="dxa"/>
          </w:tcPr>
          <w:p w14:paraId="29AC717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10.68</w:t>
            </w:r>
          </w:p>
        </w:tc>
        <w:tc>
          <w:tcPr>
            <w:tcW w:w="709" w:type="dxa"/>
          </w:tcPr>
          <w:p w14:paraId="5788E09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1.57</w:t>
            </w:r>
          </w:p>
        </w:tc>
        <w:tc>
          <w:tcPr>
            <w:tcW w:w="763" w:type="dxa"/>
          </w:tcPr>
          <w:p w14:paraId="391D6B0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0.68</w:t>
            </w:r>
          </w:p>
        </w:tc>
        <w:tc>
          <w:tcPr>
            <w:tcW w:w="990" w:type="dxa"/>
          </w:tcPr>
          <w:p w14:paraId="389EF74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&lt;0.001</w:t>
            </w:r>
          </w:p>
        </w:tc>
      </w:tr>
      <w:tr w:rsidR="00F66503" w:rsidRPr="00F66503" w14:paraId="46056052" w14:textId="77777777" w:rsidTr="00F66503">
        <w:tc>
          <w:tcPr>
            <w:tcW w:w="846" w:type="dxa"/>
          </w:tcPr>
          <w:p w14:paraId="6771F79A"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300-349</w:t>
            </w:r>
          </w:p>
        </w:tc>
        <w:tc>
          <w:tcPr>
            <w:tcW w:w="567" w:type="dxa"/>
          </w:tcPr>
          <w:p w14:paraId="1A34C8B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14</w:t>
            </w:r>
          </w:p>
        </w:tc>
        <w:tc>
          <w:tcPr>
            <w:tcW w:w="709" w:type="dxa"/>
          </w:tcPr>
          <w:p w14:paraId="76048198"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314.9</w:t>
            </w:r>
          </w:p>
        </w:tc>
        <w:tc>
          <w:tcPr>
            <w:tcW w:w="567" w:type="dxa"/>
          </w:tcPr>
          <w:p w14:paraId="25ECAD1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16.0</w:t>
            </w:r>
          </w:p>
        </w:tc>
        <w:tc>
          <w:tcPr>
            <w:tcW w:w="850" w:type="dxa"/>
          </w:tcPr>
          <w:p w14:paraId="03BA05FC"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13.53</w:t>
            </w:r>
          </w:p>
        </w:tc>
        <w:tc>
          <w:tcPr>
            <w:tcW w:w="567" w:type="dxa"/>
          </w:tcPr>
          <w:p w14:paraId="12843CD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1.69</w:t>
            </w:r>
          </w:p>
        </w:tc>
        <w:tc>
          <w:tcPr>
            <w:tcW w:w="709" w:type="dxa"/>
          </w:tcPr>
          <w:p w14:paraId="761F931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45</w:t>
            </w:r>
          </w:p>
        </w:tc>
        <w:tc>
          <w:tcPr>
            <w:tcW w:w="945" w:type="dxa"/>
          </w:tcPr>
          <w:p w14:paraId="345BE5E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319.9</w:t>
            </w:r>
          </w:p>
        </w:tc>
        <w:tc>
          <w:tcPr>
            <w:tcW w:w="756" w:type="dxa"/>
          </w:tcPr>
          <w:p w14:paraId="448EA58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14.7</w:t>
            </w:r>
          </w:p>
        </w:tc>
        <w:tc>
          <w:tcPr>
            <w:tcW w:w="850" w:type="dxa"/>
          </w:tcPr>
          <w:p w14:paraId="2F702B9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11.24</w:t>
            </w:r>
          </w:p>
        </w:tc>
        <w:tc>
          <w:tcPr>
            <w:tcW w:w="709" w:type="dxa"/>
          </w:tcPr>
          <w:p w14:paraId="7D46197F"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1.91</w:t>
            </w:r>
          </w:p>
        </w:tc>
        <w:tc>
          <w:tcPr>
            <w:tcW w:w="763" w:type="dxa"/>
          </w:tcPr>
          <w:p w14:paraId="054D19D2"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0.279</w:t>
            </w:r>
          </w:p>
        </w:tc>
        <w:tc>
          <w:tcPr>
            <w:tcW w:w="990" w:type="dxa"/>
          </w:tcPr>
          <w:p w14:paraId="79E44A5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&lt;0.001</w:t>
            </w:r>
          </w:p>
        </w:tc>
      </w:tr>
      <w:tr w:rsidR="00F66503" w:rsidRPr="00F66503" w14:paraId="4A150F9B" w14:textId="77777777" w:rsidTr="00F66503">
        <w:tc>
          <w:tcPr>
            <w:tcW w:w="846" w:type="dxa"/>
          </w:tcPr>
          <w:p w14:paraId="574D0CEB"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350-399</w:t>
            </w:r>
          </w:p>
        </w:tc>
        <w:tc>
          <w:tcPr>
            <w:tcW w:w="567" w:type="dxa"/>
          </w:tcPr>
          <w:p w14:paraId="41F57920"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w:t>
            </w:r>
          </w:p>
        </w:tc>
        <w:tc>
          <w:tcPr>
            <w:tcW w:w="709" w:type="dxa"/>
          </w:tcPr>
          <w:p w14:paraId="01348DB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373.25</w:t>
            </w:r>
          </w:p>
        </w:tc>
        <w:tc>
          <w:tcPr>
            <w:tcW w:w="567" w:type="dxa"/>
          </w:tcPr>
          <w:p w14:paraId="582DEEE3"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23.36</w:t>
            </w:r>
          </w:p>
        </w:tc>
        <w:tc>
          <w:tcPr>
            <w:tcW w:w="850" w:type="dxa"/>
          </w:tcPr>
          <w:p w14:paraId="75325DE5"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13.83</w:t>
            </w:r>
          </w:p>
        </w:tc>
        <w:tc>
          <w:tcPr>
            <w:tcW w:w="567" w:type="dxa"/>
          </w:tcPr>
          <w:p w14:paraId="284900E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2.77</w:t>
            </w:r>
          </w:p>
        </w:tc>
        <w:tc>
          <w:tcPr>
            <w:tcW w:w="709" w:type="dxa"/>
          </w:tcPr>
          <w:p w14:paraId="13B5126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18</w:t>
            </w:r>
          </w:p>
        </w:tc>
        <w:tc>
          <w:tcPr>
            <w:tcW w:w="945" w:type="dxa"/>
          </w:tcPr>
          <w:p w14:paraId="2490143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371.39</w:t>
            </w:r>
          </w:p>
        </w:tc>
        <w:tc>
          <w:tcPr>
            <w:tcW w:w="756" w:type="dxa"/>
          </w:tcPr>
          <w:p w14:paraId="46648C8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15.26</w:t>
            </w:r>
          </w:p>
        </w:tc>
        <w:tc>
          <w:tcPr>
            <w:tcW w:w="850" w:type="dxa"/>
          </w:tcPr>
          <w:p w14:paraId="1A6FC4E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11.6</w:t>
            </w:r>
          </w:p>
        </w:tc>
        <w:tc>
          <w:tcPr>
            <w:tcW w:w="709" w:type="dxa"/>
          </w:tcPr>
          <w:p w14:paraId="4CE18BB0"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1.59</w:t>
            </w:r>
          </w:p>
        </w:tc>
        <w:tc>
          <w:tcPr>
            <w:tcW w:w="763" w:type="dxa"/>
          </w:tcPr>
          <w:p w14:paraId="03B8BA81"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0.379</w:t>
            </w:r>
          </w:p>
        </w:tc>
        <w:tc>
          <w:tcPr>
            <w:tcW w:w="990" w:type="dxa"/>
          </w:tcPr>
          <w:p w14:paraId="60D798FD"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0.039</w:t>
            </w:r>
          </w:p>
        </w:tc>
      </w:tr>
      <w:tr w:rsidR="00F66503" w:rsidRPr="00F66503" w14:paraId="782F56E9" w14:textId="77777777" w:rsidTr="00F66503">
        <w:tc>
          <w:tcPr>
            <w:tcW w:w="846" w:type="dxa"/>
          </w:tcPr>
          <w:p w14:paraId="25048427" w14:textId="77777777" w:rsidR="00DA225B" w:rsidRPr="00F66503" w:rsidRDefault="00DA225B" w:rsidP="00396FBD">
            <w:pPr>
              <w:spacing w:after="0"/>
              <w:ind w:right="51"/>
              <w:jc w:val="center"/>
              <w:rPr>
                <w:rFonts w:asciiTheme="majorBidi" w:hAnsiTheme="majorBidi" w:cstheme="majorBidi"/>
                <w:b/>
                <w:bCs/>
                <w:sz w:val="16"/>
                <w:szCs w:val="16"/>
              </w:rPr>
            </w:pPr>
            <w:r w:rsidRPr="00F66503">
              <w:rPr>
                <w:rFonts w:asciiTheme="majorBidi" w:hAnsiTheme="majorBidi" w:cstheme="majorBidi"/>
                <w:b/>
                <w:bCs/>
                <w:sz w:val="16"/>
                <w:szCs w:val="16"/>
              </w:rPr>
              <w:t>400-513</w:t>
            </w:r>
          </w:p>
        </w:tc>
        <w:tc>
          <w:tcPr>
            <w:tcW w:w="567" w:type="dxa"/>
          </w:tcPr>
          <w:p w14:paraId="394E93A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0</w:t>
            </w:r>
          </w:p>
        </w:tc>
        <w:tc>
          <w:tcPr>
            <w:tcW w:w="709" w:type="dxa"/>
          </w:tcPr>
          <w:p w14:paraId="16832C1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c>
          <w:tcPr>
            <w:tcW w:w="567" w:type="dxa"/>
          </w:tcPr>
          <w:p w14:paraId="413F073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c>
          <w:tcPr>
            <w:tcW w:w="850" w:type="dxa"/>
          </w:tcPr>
          <w:p w14:paraId="2A0547F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c>
          <w:tcPr>
            <w:tcW w:w="567" w:type="dxa"/>
          </w:tcPr>
          <w:p w14:paraId="27A686E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c>
          <w:tcPr>
            <w:tcW w:w="709" w:type="dxa"/>
          </w:tcPr>
          <w:p w14:paraId="3A9314C7"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26</w:t>
            </w:r>
          </w:p>
        </w:tc>
        <w:tc>
          <w:tcPr>
            <w:tcW w:w="945" w:type="dxa"/>
          </w:tcPr>
          <w:p w14:paraId="3790F89A"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446.58</w:t>
            </w:r>
          </w:p>
        </w:tc>
        <w:tc>
          <w:tcPr>
            <w:tcW w:w="756" w:type="dxa"/>
          </w:tcPr>
          <w:p w14:paraId="4F9DEB69"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38.16</w:t>
            </w:r>
          </w:p>
        </w:tc>
        <w:tc>
          <w:tcPr>
            <w:tcW w:w="850" w:type="dxa"/>
          </w:tcPr>
          <w:p w14:paraId="785CEF36"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12.63</w:t>
            </w:r>
          </w:p>
        </w:tc>
        <w:tc>
          <w:tcPr>
            <w:tcW w:w="709" w:type="dxa"/>
          </w:tcPr>
          <w:p w14:paraId="2051E32E"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2.2</w:t>
            </w:r>
          </w:p>
        </w:tc>
        <w:tc>
          <w:tcPr>
            <w:tcW w:w="763" w:type="dxa"/>
          </w:tcPr>
          <w:p w14:paraId="0085193B"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c>
          <w:tcPr>
            <w:tcW w:w="990" w:type="dxa"/>
          </w:tcPr>
          <w:p w14:paraId="0D25A4C8" w14:textId="77777777" w:rsidR="00DA225B" w:rsidRPr="00F66503" w:rsidRDefault="00DA225B" w:rsidP="00396FBD">
            <w:pPr>
              <w:spacing w:after="0"/>
              <w:ind w:right="51"/>
              <w:jc w:val="center"/>
              <w:rPr>
                <w:rFonts w:asciiTheme="majorBidi" w:hAnsiTheme="majorBidi" w:cstheme="majorBidi"/>
                <w:sz w:val="16"/>
                <w:szCs w:val="16"/>
              </w:rPr>
            </w:pPr>
            <w:r w:rsidRPr="00F66503">
              <w:rPr>
                <w:rFonts w:asciiTheme="majorBidi" w:hAnsiTheme="majorBidi" w:cstheme="majorBidi"/>
                <w:sz w:val="16"/>
                <w:szCs w:val="16"/>
              </w:rPr>
              <w:t>-</w:t>
            </w:r>
          </w:p>
        </w:tc>
      </w:tr>
    </w:tbl>
    <w:p w14:paraId="4B260E36" w14:textId="77777777" w:rsidR="007D6989" w:rsidRPr="00F66503" w:rsidRDefault="00DA225B" w:rsidP="00396FBD">
      <w:pPr>
        <w:tabs>
          <w:tab w:val="left" w:pos="3225"/>
        </w:tabs>
        <w:bidi w:val="0"/>
        <w:spacing w:after="0"/>
        <w:ind w:right="51"/>
        <w:rPr>
          <w:rFonts w:cstheme="minorHAnsi"/>
          <w:b/>
          <w:bCs/>
          <w:sz w:val="18"/>
          <w:szCs w:val="18"/>
          <w:lang w:bidi="ar-IQ"/>
        </w:rPr>
      </w:pPr>
      <w:r w:rsidRPr="00F66503">
        <w:rPr>
          <w:rFonts w:cstheme="minorHAnsi"/>
          <w:b/>
          <w:bCs/>
          <w:sz w:val="18"/>
          <w:szCs w:val="18"/>
          <w:lang w:bidi="ar-IQ"/>
        </w:rPr>
        <w:t>P-value measured by independent t-test.</w:t>
      </w:r>
    </w:p>
    <w:bookmarkEnd w:id="4"/>
    <w:p w14:paraId="279A095D" w14:textId="77777777" w:rsidR="00F66503" w:rsidRDefault="00F66503" w:rsidP="00396FBD">
      <w:pPr>
        <w:tabs>
          <w:tab w:val="left" w:pos="3225"/>
        </w:tabs>
        <w:bidi w:val="0"/>
        <w:ind w:right="51"/>
        <w:jc w:val="both"/>
        <w:rPr>
          <w:rFonts w:asciiTheme="majorBidi" w:hAnsiTheme="majorBidi" w:cstheme="majorBidi"/>
          <w:sz w:val="24"/>
          <w:szCs w:val="24"/>
          <w:lang w:bidi="ar-IQ"/>
        </w:rPr>
        <w:sectPr w:rsidR="00F66503" w:rsidSect="00044E56">
          <w:type w:val="continuous"/>
          <w:pgSz w:w="12242" w:h="15842" w:code="1"/>
          <w:pgMar w:top="1134" w:right="1134" w:bottom="1134" w:left="1134" w:header="1134" w:footer="567" w:gutter="0"/>
          <w:pgNumType w:start="1"/>
          <w:cols w:space="720"/>
          <w:docGrid w:linePitch="360"/>
        </w:sectPr>
      </w:pPr>
    </w:p>
    <w:p w14:paraId="212D9527" w14:textId="4F924F75" w:rsidR="000229CE" w:rsidRDefault="000229CE" w:rsidP="000229CE">
      <w:pPr>
        <w:tabs>
          <w:tab w:val="left" w:pos="3225"/>
        </w:tabs>
        <w:bidi w:val="0"/>
        <w:spacing w:after="0"/>
        <w:ind w:right="51"/>
        <w:jc w:val="both"/>
        <w:rPr>
          <w:rFonts w:asciiTheme="majorBidi" w:hAnsiTheme="majorBidi" w:cstheme="majorBidi"/>
          <w:sz w:val="24"/>
          <w:szCs w:val="24"/>
          <w:lang w:bidi="ar-IQ"/>
        </w:rPr>
      </w:pPr>
      <w:bookmarkStart w:id="5" w:name="_Hlk138964553"/>
      <w:r w:rsidRPr="00413F4E">
        <w:rPr>
          <w:rFonts w:asciiTheme="majorBidi" w:hAnsiTheme="majorBidi" w:cstheme="majorBidi"/>
          <w:b/>
          <w:bCs/>
          <w:noProof/>
          <w:sz w:val="24"/>
          <w:szCs w:val="24"/>
        </w:rPr>
        <w:lastRenderedPageBreak/>
        <w:drawing>
          <wp:anchor distT="0" distB="0" distL="114300" distR="114300" simplePos="0" relativeHeight="251659264" behindDoc="0" locked="0" layoutInCell="1" allowOverlap="1" wp14:anchorId="4D25A511" wp14:editId="40AB31E0">
            <wp:simplePos x="0" y="0"/>
            <wp:positionH relativeFrom="column">
              <wp:posOffset>3348990</wp:posOffset>
            </wp:positionH>
            <wp:positionV relativeFrom="paragraph">
              <wp:posOffset>0</wp:posOffset>
            </wp:positionV>
            <wp:extent cx="2560320" cy="2804160"/>
            <wp:effectExtent l="0" t="0" r="11430" b="15240"/>
            <wp:wrapTopAndBottom/>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5B061D" w:rsidRPr="00413F4E">
        <w:rPr>
          <w:rFonts w:asciiTheme="majorBidi" w:hAnsiTheme="majorBidi" w:cstheme="majorBidi"/>
          <w:sz w:val="24"/>
          <w:szCs w:val="24"/>
          <w:lang w:bidi="ar-IQ"/>
        </w:rPr>
        <w:t>For the FBS range 72-129 mg/dl, 150-169 mg/dl, and 170-199 mg/dl, the mean FBS was nearly the same for both groups with no significant statistical difference. The mean HbA1c in patients with severe hypertriglyceridemia was higher than the mean HbA1c in patients with normal triglycerides levels by 1%, 0.41% and 0.23%, respectively, but it is not significant statistically.</w:t>
      </w:r>
      <w:r w:rsidR="005B061D">
        <w:rPr>
          <w:rFonts w:asciiTheme="majorBidi" w:hAnsiTheme="majorBidi" w:cstheme="majorBidi"/>
          <w:sz w:val="24"/>
          <w:szCs w:val="24"/>
          <w:lang w:bidi="ar-IQ"/>
        </w:rPr>
        <w:t xml:space="preserve"> </w:t>
      </w:r>
      <w:r w:rsidR="005B061D" w:rsidRPr="00413F4E">
        <w:rPr>
          <w:rFonts w:asciiTheme="majorBidi" w:hAnsiTheme="majorBidi" w:cstheme="majorBidi"/>
          <w:sz w:val="24"/>
          <w:szCs w:val="24"/>
          <w:lang w:bidi="ar-IQ"/>
        </w:rPr>
        <w:t>For the FBS range 130-149 mg/dl, the mean FBS was nearly the same for both groups with no significant statistical difference (P-value = 0.696), the mean HbA1c in patients with severe hypertriglyceridemia was higher than the mean HbA1c in patients with normal triglycerides levels by 1.33% with statistically significant p-value = 0.003.</w:t>
      </w:r>
      <w:r w:rsidR="005B061D">
        <w:rPr>
          <w:rFonts w:asciiTheme="majorBidi" w:hAnsiTheme="majorBidi" w:cstheme="majorBidi"/>
          <w:sz w:val="24"/>
          <w:szCs w:val="24"/>
          <w:lang w:bidi="ar-IQ"/>
        </w:rPr>
        <w:t xml:space="preserve"> </w:t>
      </w:r>
      <w:r w:rsidR="005B061D" w:rsidRPr="00413F4E">
        <w:rPr>
          <w:rFonts w:asciiTheme="majorBidi" w:hAnsiTheme="majorBidi" w:cstheme="majorBidi"/>
          <w:sz w:val="24"/>
          <w:szCs w:val="24"/>
          <w:lang w:bidi="ar-IQ"/>
        </w:rPr>
        <w:t>For the FBS range 200-229 mg/dl, 230-259 mg/dl, 260-299 mg/dl, 300-349 mg/dl and 350-399 mg/dl, the mean FBS was nearly the same for both groups with no significant statistical difference, the mean HbA1c in patients with severe hypertriglyceridemia was lower than the mean HbA1c in patients with normal triglycerides levels by 1.02%, 0.85%, 1.77%, 2.29% and 2.23%, respectively, with statistically significant p-value equals to 0.005, 0.034, &lt; 0.001, &lt; 0.001, and 0.039 respectively.</w:t>
      </w:r>
    </w:p>
    <w:p w14:paraId="6F3F6D70" w14:textId="6F564F74" w:rsidR="006A480E" w:rsidRDefault="006A480E" w:rsidP="006A480E">
      <w:pPr>
        <w:tabs>
          <w:tab w:val="left" w:pos="3225"/>
        </w:tabs>
        <w:bidi w:val="0"/>
        <w:spacing w:after="0"/>
        <w:ind w:right="51"/>
        <w:jc w:val="both"/>
        <w:rPr>
          <w:rFonts w:asciiTheme="majorBidi" w:hAnsiTheme="majorBidi" w:cstheme="majorBidi"/>
          <w:sz w:val="24"/>
          <w:szCs w:val="24"/>
          <w:lang w:bidi="ar-IQ"/>
        </w:rPr>
      </w:pPr>
    </w:p>
    <w:p w14:paraId="44057CC7" w14:textId="77777777" w:rsidR="006F0832" w:rsidRDefault="006F0832" w:rsidP="006A480E">
      <w:pPr>
        <w:bidi w:val="0"/>
        <w:ind w:right="51"/>
        <w:rPr>
          <w:rFonts w:cstheme="minorHAnsi"/>
          <w:b/>
          <w:bCs/>
          <w:sz w:val="20"/>
          <w:szCs w:val="20"/>
          <w:lang w:bidi="ar-IQ"/>
        </w:rPr>
      </w:pPr>
    </w:p>
    <w:p w14:paraId="45907D92" w14:textId="77777777" w:rsidR="006F0832" w:rsidRDefault="006F0832" w:rsidP="006F0832">
      <w:pPr>
        <w:bidi w:val="0"/>
        <w:ind w:right="51"/>
        <w:rPr>
          <w:rFonts w:cstheme="minorHAnsi"/>
          <w:b/>
          <w:bCs/>
          <w:sz w:val="20"/>
          <w:szCs w:val="20"/>
          <w:lang w:bidi="ar-IQ"/>
        </w:rPr>
      </w:pPr>
    </w:p>
    <w:p w14:paraId="2B62A914" w14:textId="77777777" w:rsidR="006F0832" w:rsidRDefault="006F0832" w:rsidP="006F0832">
      <w:pPr>
        <w:bidi w:val="0"/>
        <w:ind w:right="51"/>
        <w:rPr>
          <w:rFonts w:cstheme="minorHAnsi"/>
          <w:b/>
          <w:bCs/>
          <w:sz w:val="20"/>
          <w:szCs w:val="20"/>
          <w:lang w:bidi="ar-IQ"/>
        </w:rPr>
      </w:pPr>
    </w:p>
    <w:p w14:paraId="4395B969" w14:textId="77777777" w:rsidR="006F0832" w:rsidRDefault="006F0832" w:rsidP="006F0832">
      <w:pPr>
        <w:bidi w:val="0"/>
        <w:ind w:right="51"/>
        <w:rPr>
          <w:rFonts w:cstheme="minorHAnsi"/>
          <w:b/>
          <w:bCs/>
          <w:sz w:val="20"/>
          <w:szCs w:val="20"/>
          <w:lang w:bidi="ar-IQ"/>
        </w:rPr>
      </w:pPr>
    </w:p>
    <w:p w14:paraId="5296FC93" w14:textId="77777777" w:rsidR="006F0832" w:rsidRDefault="006F0832" w:rsidP="006F0832">
      <w:pPr>
        <w:bidi w:val="0"/>
        <w:ind w:right="51"/>
        <w:rPr>
          <w:rFonts w:cstheme="minorHAnsi"/>
          <w:b/>
          <w:bCs/>
          <w:sz w:val="20"/>
          <w:szCs w:val="20"/>
          <w:lang w:bidi="ar-IQ"/>
        </w:rPr>
      </w:pPr>
    </w:p>
    <w:p w14:paraId="7CA24872" w14:textId="77777777" w:rsidR="006F0832" w:rsidRDefault="006F0832" w:rsidP="006F0832">
      <w:pPr>
        <w:bidi w:val="0"/>
        <w:ind w:right="51"/>
        <w:rPr>
          <w:rFonts w:cstheme="minorHAnsi"/>
          <w:b/>
          <w:bCs/>
          <w:sz w:val="20"/>
          <w:szCs w:val="20"/>
          <w:lang w:bidi="ar-IQ"/>
        </w:rPr>
      </w:pPr>
    </w:p>
    <w:p w14:paraId="4DBA340B" w14:textId="77777777" w:rsidR="006F0832" w:rsidRDefault="006F0832" w:rsidP="006F0832">
      <w:pPr>
        <w:bidi w:val="0"/>
        <w:ind w:right="51"/>
        <w:rPr>
          <w:rFonts w:cstheme="minorHAnsi"/>
          <w:b/>
          <w:bCs/>
          <w:sz w:val="20"/>
          <w:szCs w:val="20"/>
          <w:lang w:bidi="ar-IQ"/>
        </w:rPr>
      </w:pPr>
    </w:p>
    <w:p w14:paraId="623256CB" w14:textId="77777777" w:rsidR="006F0832" w:rsidRDefault="006F0832" w:rsidP="006F0832">
      <w:pPr>
        <w:bidi w:val="0"/>
        <w:ind w:right="51"/>
        <w:rPr>
          <w:rFonts w:cstheme="minorHAnsi"/>
          <w:b/>
          <w:bCs/>
          <w:sz w:val="20"/>
          <w:szCs w:val="20"/>
          <w:lang w:bidi="ar-IQ"/>
        </w:rPr>
      </w:pPr>
    </w:p>
    <w:p w14:paraId="5305E433" w14:textId="77777777" w:rsidR="006F0832" w:rsidRDefault="006F0832" w:rsidP="006F0832">
      <w:pPr>
        <w:bidi w:val="0"/>
        <w:ind w:right="51"/>
        <w:rPr>
          <w:rFonts w:cstheme="minorHAnsi"/>
          <w:b/>
          <w:bCs/>
          <w:sz w:val="20"/>
          <w:szCs w:val="20"/>
          <w:lang w:bidi="ar-IQ"/>
        </w:rPr>
      </w:pPr>
    </w:p>
    <w:p w14:paraId="20547BE9" w14:textId="77777777" w:rsidR="006F0832" w:rsidRDefault="006F0832" w:rsidP="006F0832">
      <w:pPr>
        <w:bidi w:val="0"/>
        <w:ind w:right="51"/>
        <w:rPr>
          <w:rFonts w:cstheme="minorHAnsi"/>
          <w:b/>
          <w:bCs/>
          <w:sz w:val="20"/>
          <w:szCs w:val="20"/>
          <w:lang w:bidi="ar-IQ"/>
        </w:rPr>
      </w:pPr>
    </w:p>
    <w:p w14:paraId="1511D7A0" w14:textId="77777777" w:rsidR="006F0832" w:rsidRDefault="006F0832" w:rsidP="006F0832">
      <w:pPr>
        <w:bidi w:val="0"/>
        <w:ind w:right="51"/>
        <w:rPr>
          <w:rFonts w:cstheme="minorHAnsi"/>
          <w:b/>
          <w:bCs/>
          <w:sz w:val="20"/>
          <w:szCs w:val="20"/>
          <w:lang w:bidi="ar-IQ"/>
        </w:rPr>
      </w:pPr>
    </w:p>
    <w:p w14:paraId="571A4FA0" w14:textId="64225B34" w:rsidR="006A480E" w:rsidRPr="000229CE" w:rsidRDefault="006A480E" w:rsidP="006F0832">
      <w:pPr>
        <w:bidi w:val="0"/>
        <w:ind w:right="51"/>
        <w:rPr>
          <w:rFonts w:asciiTheme="majorBidi" w:hAnsiTheme="majorBidi" w:cstheme="majorBidi"/>
          <w:sz w:val="20"/>
          <w:szCs w:val="20"/>
        </w:rPr>
      </w:pPr>
      <w:r w:rsidRPr="000229CE">
        <w:rPr>
          <w:rFonts w:cstheme="minorHAnsi"/>
          <w:b/>
          <w:bCs/>
          <w:sz w:val="20"/>
          <w:szCs w:val="20"/>
          <w:lang w:bidi="ar-IQ"/>
        </w:rPr>
        <w:t>Fig 1</w:t>
      </w:r>
      <w:r w:rsidRPr="000229CE">
        <w:rPr>
          <w:rFonts w:cstheme="minorHAnsi"/>
          <w:sz w:val="20"/>
          <w:szCs w:val="20"/>
          <w:lang w:bidi="ar-IQ"/>
        </w:rPr>
        <w:t>.</w:t>
      </w:r>
      <w:r w:rsidRPr="000229CE">
        <w:rPr>
          <w:rFonts w:asciiTheme="majorBidi" w:hAnsiTheme="majorBidi" w:cstheme="majorBidi"/>
          <w:sz w:val="20"/>
          <w:szCs w:val="20"/>
          <w:lang w:bidi="ar-IQ"/>
        </w:rPr>
        <w:t xml:space="preserve"> </w:t>
      </w:r>
      <w:r w:rsidRPr="000229CE">
        <w:rPr>
          <w:rFonts w:asciiTheme="majorBidi" w:hAnsiTheme="majorBidi" w:cstheme="majorBidi"/>
          <w:sz w:val="20"/>
          <w:szCs w:val="20"/>
        </w:rPr>
        <w:t>Diabetic patients (type 2) with normal triglycerides levels: Basic characteristics</w:t>
      </w:r>
    </w:p>
    <w:p w14:paraId="44D8E1AC" w14:textId="77777777" w:rsidR="006A480E" w:rsidRDefault="006A480E" w:rsidP="006A480E">
      <w:pPr>
        <w:tabs>
          <w:tab w:val="left" w:pos="3225"/>
        </w:tabs>
        <w:bidi w:val="0"/>
        <w:spacing w:after="0"/>
        <w:ind w:right="51"/>
        <w:jc w:val="both"/>
        <w:rPr>
          <w:rFonts w:asciiTheme="majorBidi" w:hAnsiTheme="majorBidi" w:cstheme="majorBidi"/>
          <w:sz w:val="24"/>
          <w:szCs w:val="24"/>
          <w:lang w:bidi="ar-IQ"/>
        </w:rPr>
      </w:pPr>
    </w:p>
    <w:p w14:paraId="5F275823" w14:textId="77777777" w:rsidR="000229CE" w:rsidRDefault="000229CE" w:rsidP="00B7329F">
      <w:pPr>
        <w:bidi w:val="0"/>
        <w:spacing w:after="0"/>
        <w:ind w:right="51"/>
        <w:rPr>
          <w:rFonts w:asciiTheme="majorBidi" w:hAnsiTheme="majorBidi" w:cstheme="majorBidi"/>
          <w:sz w:val="24"/>
          <w:szCs w:val="24"/>
          <w:lang w:bidi="ar-IQ"/>
        </w:rPr>
      </w:pPr>
      <w:r w:rsidRPr="00413F4E">
        <w:rPr>
          <w:rFonts w:asciiTheme="majorBidi" w:hAnsiTheme="majorBidi" w:cstheme="majorBidi"/>
          <w:noProof/>
          <w:sz w:val="24"/>
          <w:szCs w:val="24"/>
        </w:rPr>
        <w:drawing>
          <wp:anchor distT="0" distB="0" distL="114300" distR="114300" simplePos="0" relativeHeight="251660288" behindDoc="1" locked="0" layoutInCell="1" allowOverlap="1" wp14:anchorId="0DE17C5B" wp14:editId="653442E4">
            <wp:simplePos x="0" y="0"/>
            <wp:positionH relativeFrom="column">
              <wp:posOffset>2540</wp:posOffset>
            </wp:positionH>
            <wp:positionV relativeFrom="paragraph">
              <wp:posOffset>0</wp:posOffset>
            </wp:positionV>
            <wp:extent cx="2727960" cy="2438400"/>
            <wp:effectExtent l="0" t="0" r="15240" b="0"/>
            <wp:wrapSquare wrapText="bothSides"/>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0F6BB2A" w14:textId="77777777" w:rsidR="00B7329F" w:rsidRDefault="00B7329F" w:rsidP="000229CE">
      <w:pPr>
        <w:bidi w:val="0"/>
        <w:spacing w:after="0"/>
        <w:ind w:right="51"/>
        <w:jc w:val="both"/>
        <w:rPr>
          <w:rFonts w:cstheme="minorHAnsi"/>
          <w:b/>
          <w:bCs/>
          <w:sz w:val="20"/>
          <w:szCs w:val="20"/>
        </w:rPr>
      </w:pPr>
    </w:p>
    <w:p w14:paraId="73909902" w14:textId="79B7F31E" w:rsidR="000229CE" w:rsidRPr="000229CE" w:rsidRDefault="000229CE" w:rsidP="00B7329F">
      <w:pPr>
        <w:bidi w:val="0"/>
        <w:spacing w:after="0"/>
        <w:ind w:right="51"/>
        <w:jc w:val="both"/>
        <w:rPr>
          <w:rFonts w:asciiTheme="majorBidi" w:hAnsiTheme="majorBidi" w:cstheme="majorBidi"/>
          <w:b/>
          <w:bCs/>
          <w:sz w:val="20"/>
          <w:szCs w:val="20"/>
        </w:rPr>
      </w:pPr>
      <w:r w:rsidRPr="000229CE">
        <w:rPr>
          <w:rFonts w:cstheme="minorHAnsi"/>
          <w:b/>
          <w:bCs/>
          <w:sz w:val="20"/>
          <w:szCs w:val="20"/>
        </w:rPr>
        <w:t>Fig 2.</w:t>
      </w:r>
      <w:r w:rsidRPr="000229CE">
        <w:rPr>
          <w:rFonts w:asciiTheme="majorBidi" w:hAnsiTheme="majorBidi" w:cstheme="majorBidi"/>
          <w:b/>
          <w:bCs/>
          <w:sz w:val="20"/>
          <w:szCs w:val="20"/>
        </w:rPr>
        <w:t xml:space="preserve"> </w:t>
      </w:r>
      <w:r w:rsidRPr="000229CE">
        <w:rPr>
          <w:rFonts w:asciiTheme="majorBidi" w:hAnsiTheme="majorBidi" w:cstheme="majorBidi"/>
          <w:sz w:val="20"/>
          <w:szCs w:val="20"/>
        </w:rPr>
        <w:t>Diabetic patients (type</w:t>
      </w:r>
      <w:r>
        <w:rPr>
          <w:rFonts w:asciiTheme="majorBidi" w:hAnsiTheme="majorBidi" w:cstheme="majorBidi"/>
          <w:sz w:val="20"/>
          <w:szCs w:val="20"/>
        </w:rPr>
        <w:t>-</w:t>
      </w:r>
      <w:r w:rsidRPr="000229CE">
        <w:rPr>
          <w:rFonts w:asciiTheme="majorBidi" w:hAnsiTheme="majorBidi" w:cstheme="majorBidi"/>
          <w:sz w:val="20"/>
          <w:szCs w:val="20"/>
        </w:rPr>
        <w:t>2) with severe hypertriglyceridemia: Basic characteristics</w:t>
      </w:r>
    </w:p>
    <w:p w14:paraId="5BA75A10" w14:textId="6CCD6AB3" w:rsidR="000229CE" w:rsidRPr="00413F4E" w:rsidRDefault="000229CE" w:rsidP="000229CE">
      <w:pPr>
        <w:tabs>
          <w:tab w:val="left" w:pos="3225"/>
        </w:tabs>
        <w:bidi w:val="0"/>
        <w:spacing w:after="0"/>
        <w:ind w:right="51"/>
        <w:jc w:val="both"/>
        <w:rPr>
          <w:rFonts w:asciiTheme="majorBidi" w:hAnsiTheme="majorBidi" w:cstheme="majorBidi"/>
          <w:b/>
          <w:bCs/>
          <w:sz w:val="24"/>
          <w:szCs w:val="24"/>
          <w:lang w:bidi="ar-IQ"/>
        </w:rPr>
      </w:pPr>
    </w:p>
    <w:p w14:paraId="37EDB73C" w14:textId="77777777" w:rsidR="000229CE" w:rsidRPr="00413F4E" w:rsidRDefault="000229CE" w:rsidP="000229CE">
      <w:pPr>
        <w:tabs>
          <w:tab w:val="left" w:pos="3225"/>
        </w:tabs>
        <w:bidi w:val="0"/>
        <w:spacing w:after="0"/>
        <w:ind w:right="51"/>
        <w:jc w:val="both"/>
        <w:rPr>
          <w:rFonts w:asciiTheme="majorBidi" w:hAnsiTheme="majorBidi" w:cstheme="majorBidi"/>
          <w:b/>
          <w:bCs/>
          <w:sz w:val="24"/>
          <w:szCs w:val="24"/>
          <w:lang w:bidi="ar-IQ"/>
        </w:rPr>
      </w:pPr>
    </w:p>
    <w:p w14:paraId="359B5BEE" w14:textId="7BCD00A8" w:rsidR="000229CE" w:rsidRPr="00413F4E" w:rsidRDefault="006A480E" w:rsidP="000229CE">
      <w:pPr>
        <w:tabs>
          <w:tab w:val="left" w:pos="3225"/>
        </w:tabs>
        <w:bidi w:val="0"/>
        <w:spacing w:after="0"/>
        <w:ind w:right="51"/>
        <w:jc w:val="both"/>
        <w:rPr>
          <w:rFonts w:asciiTheme="majorBidi" w:hAnsiTheme="majorBidi" w:cstheme="majorBidi"/>
          <w:b/>
          <w:bCs/>
          <w:sz w:val="24"/>
          <w:szCs w:val="24"/>
          <w:lang w:bidi="ar-IQ"/>
        </w:rPr>
      </w:pPr>
      <w:bookmarkStart w:id="6" w:name="_Hlk138964582"/>
      <w:bookmarkEnd w:id="5"/>
      <w:r w:rsidRPr="00413F4E">
        <w:rPr>
          <w:rFonts w:asciiTheme="majorBidi" w:hAnsiTheme="majorBidi" w:cstheme="majorBidi"/>
          <w:noProof/>
          <w:sz w:val="24"/>
          <w:szCs w:val="24"/>
        </w:rPr>
        <w:lastRenderedPageBreak/>
        <w:drawing>
          <wp:inline distT="0" distB="0" distL="0" distR="0" wp14:anchorId="2C79AAC9" wp14:editId="4846E467">
            <wp:extent cx="2926080" cy="2461260"/>
            <wp:effectExtent l="0" t="0" r="7620" b="1524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2278DA" w14:textId="1D4489B2" w:rsidR="000229CE" w:rsidRPr="00413F4E" w:rsidRDefault="000229CE" w:rsidP="000229CE">
      <w:pPr>
        <w:tabs>
          <w:tab w:val="left" w:pos="3225"/>
        </w:tabs>
        <w:bidi w:val="0"/>
        <w:spacing w:after="0"/>
        <w:ind w:right="51"/>
        <w:jc w:val="both"/>
        <w:rPr>
          <w:rFonts w:asciiTheme="majorBidi" w:hAnsiTheme="majorBidi" w:cstheme="majorBidi"/>
          <w:b/>
          <w:bCs/>
          <w:sz w:val="24"/>
          <w:szCs w:val="24"/>
          <w:lang w:bidi="ar-IQ"/>
        </w:rPr>
      </w:pPr>
    </w:p>
    <w:p w14:paraId="4740FFFE" w14:textId="17EB8384" w:rsidR="006A480E" w:rsidRPr="00413F4E" w:rsidRDefault="006A480E" w:rsidP="006A480E">
      <w:pPr>
        <w:tabs>
          <w:tab w:val="left" w:pos="3225"/>
        </w:tabs>
        <w:bidi w:val="0"/>
        <w:spacing w:after="0"/>
        <w:ind w:right="51"/>
        <w:jc w:val="both"/>
        <w:rPr>
          <w:rFonts w:asciiTheme="majorBidi" w:hAnsiTheme="majorBidi" w:cstheme="majorBidi"/>
          <w:b/>
          <w:bCs/>
          <w:sz w:val="24"/>
          <w:szCs w:val="24"/>
        </w:rPr>
      </w:pPr>
      <w:r w:rsidRPr="000229CE">
        <w:rPr>
          <w:rFonts w:cstheme="minorHAnsi"/>
          <w:b/>
          <w:bCs/>
          <w:sz w:val="20"/>
          <w:szCs w:val="20"/>
        </w:rPr>
        <w:t>Fig 3.</w:t>
      </w:r>
      <w:r w:rsidRPr="000229CE">
        <w:rPr>
          <w:rFonts w:asciiTheme="majorBidi" w:hAnsiTheme="majorBidi" w:cstheme="majorBidi"/>
          <w:b/>
          <w:bCs/>
          <w:sz w:val="20"/>
          <w:szCs w:val="20"/>
        </w:rPr>
        <w:t xml:space="preserve"> </w:t>
      </w:r>
      <w:r w:rsidRPr="000229CE">
        <w:rPr>
          <w:rFonts w:asciiTheme="majorBidi" w:hAnsiTheme="majorBidi" w:cstheme="majorBidi"/>
          <w:sz w:val="20"/>
          <w:szCs w:val="20"/>
        </w:rPr>
        <w:t>Diabetic patients (type 2) with normal triglycerides levels: Biochemical characteristics</w:t>
      </w:r>
      <w:r w:rsidRPr="000229CE">
        <w:rPr>
          <w:rFonts w:asciiTheme="majorBidi" w:hAnsiTheme="majorBidi" w:cstheme="majorBidi"/>
          <w:b/>
          <w:bCs/>
          <w:sz w:val="20"/>
          <w:szCs w:val="20"/>
        </w:rPr>
        <w:t xml:space="preserve"> </w:t>
      </w:r>
    </w:p>
    <w:p w14:paraId="44BE814B" w14:textId="1F83523C" w:rsidR="000229CE" w:rsidRDefault="006A480E" w:rsidP="000229CE">
      <w:pPr>
        <w:tabs>
          <w:tab w:val="left" w:pos="3225"/>
        </w:tabs>
        <w:bidi w:val="0"/>
        <w:ind w:left="-270" w:right="51" w:firstLine="90"/>
        <w:rPr>
          <w:rFonts w:asciiTheme="majorBidi" w:hAnsiTheme="majorBidi" w:cstheme="majorBidi"/>
          <w:sz w:val="24"/>
          <w:szCs w:val="24"/>
          <w:lang w:bidi="ar-IQ"/>
        </w:rPr>
      </w:pPr>
      <w:r w:rsidRPr="00413F4E">
        <w:rPr>
          <w:rFonts w:asciiTheme="majorBidi" w:hAnsiTheme="majorBidi" w:cstheme="majorBidi"/>
          <w:noProof/>
          <w:sz w:val="24"/>
          <w:szCs w:val="24"/>
        </w:rPr>
        <w:drawing>
          <wp:anchor distT="0" distB="0" distL="114300" distR="114300" simplePos="0" relativeHeight="251658240" behindDoc="1" locked="0" layoutInCell="1" allowOverlap="1" wp14:anchorId="6A7CEB64" wp14:editId="57D5E03B">
            <wp:simplePos x="0" y="0"/>
            <wp:positionH relativeFrom="margin">
              <wp:align>left</wp:align>
            </wp:positionH>
            <wp:positionV relativeFrom="paragraph">
              <wp:posOffset>311785</wp:posOffset>
            </wp:positionV>
            <wp:extent cx="3032760" cy="2674620"/>
            <wp:effectExtent l="0" t="0" r="15240" b="11430"/>
            <wp:wrapTopAndBottom/>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B72E566" w14:textId="77777777" w:rsidR="000229CE" w:rsidRDefault="000229CE" w:rsidP="000229CE">
      <w:pPr>
        <w:tabs>
          <w:tab w:val="left" w:pos="3225"/>
        </w:tabs>
        <w:bidi w:val="0"/>
        <w:ind w:left="-270" w:right="51" w:firstLine="90"/>
        <w:rPr>
          <w:rFonts w:asciiTheme="majorBidi" w:hAnsiTheme="majorBidi" w:cstheme="majorBidi"/>
          <w:sz w:val="24"/>
          <w:szCs w:val="24"/>
          <w:lang w:bidi="ar-IQ"/>
        </w:rPr>
      </w:pPr>
    </w:p>
    <w:p w14:paraId="1DCB5D94" w14:textId="5374D719" w:rsidR="000229CE" w:rsidRPr="006A480E" w:rsidRDefault="000229CE" w:rsidP="006A480E">
      <w:pPr>
        <w:bidi w:val="0"/>
        <w:spacing w:after="0"/>
        <w:ind w:right="51"/>
        <w:jc w:val="both"/>
        <w:rPr>
          <w:rFonts w:asciiTheme="majorBidi" w:hAnsiTheme="majorBidi" w:cstheme="majorBidi"/>
          <w:b/>
          <w:bCs/>
          <w:sz w:val="20"/>
          <w:szCs w:val="20"/>
        </w:rPr>
      </w:pPr>
      <w:r w:rsidRPr="006A480E">
        <w:rPr>
          <w:rFonts w:cstheme="minorHAnsi"/>
          <w:b/>
          <w:bCs/>
          <w:sz w:val="20"/>
          <w:szCs w:val="20"/>
        </w:rPr>
        <w:t>Fig 4</w:t>
      </w:r>
      <w:r w:rsidR="006A480E" w:rsidRPr="006A480E">
        <w:rPr>
          <w:rFonts w:cstheme="minorHAnsi"/>
          <w:b/>
          <w:bCs/>
          <w:sz w:val="20"/>
          <w:szCs w:val="20"/>
        </w:rPr>
        <w:t>.</w:t>
      </w:r>
      <w:r w:rsidRPr="006A480E">
        <w:rPr>
          <w:rFonts w:asciiTheme="majorBidi" w:hAnsiTheme="majorBidi" w:cstheme="majorBidi"/>
          <w:b/>
          <w:bCs/>
          <w:sz w:val="20"/>
          <w:szCs w:val="20"/>
        </w:rPr>
        <w:t xml:space="preserve"> </w:t>
      </w:r>
      <w:r w:rsidRPr="006A480E">
        <w:rPr>
          <w:rFonts w:asciiTheme="majorBidi" w:hAnsiTheme="majorBidi" w:cstheme="majorBidi"/>
          <w:sz w:val="20"/>
          <w:szCs w:val="20"/>
        </w:rPr>
        <w:t>Diabetic patients (type</w:t>
      </w:r>
      <w:r w:rsidR="006A480E">
        <w:rPr>
          <w:rFonts w:asciiTheme="majorBidi" w:hAnsiTheme="majorBidi" w:cstheme="majorBidi"/>
          <w:sz w:val="20"/>
          <w:szCs w:val="20"/>
        </w:rPr>
        <w:t>-</w:t>
      </w:r>
      <w:r w:rsidRPr="006A480E">
        <w:rPr>
          <w:rFonts w:asciiTheme="majorBidi" w:hAnsiTheme="majorBidi" w:cstheme="majorBidi"/>
          <w:sz w:val="20"/>
          <w:szCs w:val="20"/>
        </w:rPr>
        <w:t xml:space="preserve">2) with severe </w:t>
      </w:r>
      <w:proofErr w:type="spellStart"/>
      <w:proofErr w:type="gramStart"/>
      <w:r w:rsidRPr="006A480E">
        <w:rPr>
          <w:rFonts w:asciiTheme="majorBidi" w:hAnsiTheme="majorBidi" w:cstheme="majorBidi"/>
          <w:sz w:val="20"/>
          <w:szCs w:val="20"/>
        </w:rPr>
        <w:t>hypertriglyceridemia:Biochemical</w:t>
      </w:r>
      <w:proofErr w:type="spellEnd"/>
      <w:proofErr w:type="gramEnd"/>
      <w:r w:rsidRPr="006A480E">
        <w:rPr>
          <w:rFonts w:asciiTheme="majorBidi" w:hAnsiTheme="majorBidi" w:cstheme="majorBidi"/>
          <w:sz w:val="20"/>
          <w:szCs w:val="20"/>
        </w:rPr>
        <w:t xml:space="preserve"> characteristics</w:t>
      </w:r>
    </w:p>
    <w:p w14:paraId="1DD1C84A" w14:textId="24532001" w:rsidR="000229CE" w:rsidRPr="00413F4E" w:rsidRDefault="000229CE" w:rsidP="000229CE">
      <w:pPr>
        <w:tabs>
          <w:tab w:val="left" w:pos="3225"/>
        </w:tabs>
        <w:bidi w:val="0"/>
        <w:spacing w:after="0"/>
        <w:ind w:right="51"/>
        <w:jc w:val="both"/>
        <w:rPr>
          <w:rFonts w:asciiTheme="majorBidi" w:hAnsiTheme="majorBidi" w:cstheme="majorBidi"/>
          <w:b/>
          <w:bCs/>
          <w:sz w:val="24"/>
          <w:szCs w:val="24"/>
          <w:lang w:bidi="ar-IQ"/>
        </w:rPr>
      </w:pPr>
    </w:p>
    <w:p w14:paraId="433DA93C" w14:textId="4DD7A2F3" w:rsidR="005B061D" w:rsidRPr="00343778" w:rsidRDefault="005B061D" w:rsidP="000229CE">
      <w:pPr>
        <w:tabs>
          <w:tab w:val="left" w:pos="3225"/>
        </w:tabs>
        <w:bidi w:val="0"/>
        <w:spacing w:after="0"/>
        <w:ind w:right="51"/>
        <w:jc w:val="both"/>
        <w:rPr>
          <w:rFonts w:ascii="Arial Black" w:hAnsi="Arial Black" w:cstheme="majorBidi"/>
          <w:sz w:val="24"/>
          <w:szCs w:val="24"/>
          <w:lang w:bidi="ar-IQ"/>
        </w:rPr>
      </w:pPr>
      <w:r w:rsidRPr="00343778">
        <w:rPr>
          <w:rFonts w:ascii="Arial Black" w:hAnsi="Arial Black" w:cstheme="majorBidi"/>
          <w:sz w:val="24"/>
          <w:szCs w:val="24"/>
          <w:lang w:bidi="ar-IQ"/>
        </w:rPr>
        <w:t>Discussion</w:t>
      </w:r>
    </w:p>
    <w:p w14:paraId="2F924747" w14:textId="4E0DCC97" w:rsidR="005B061D" w:rsidRPr="00413F4E" w:rsidRDefault="005B061D" w:rsidP="000229CE">
      <w:pPr>
        <w:bidi w:val="0"/>
        <w:ind w:right="51"/>
        <w:jc w:val="both"/>
        <w:rPr>
          <w:rFonts w:asciiTheme="majorBidi" w:hAnsiTheme="majorBidi" w:cstheme="majorBidi"/>
          <w:sz w:val="24"/>
          <w:szCs w:val="24"/>
          <w:lang w:bidi="ar-IQ"/>
        </w:rPr>
      </w:pPr>
      <w:r w:rsidRPr="00413F4E">
        <w:rPr>
          <w:rFonts w:asciiTheme="majorBidi" w:hAnsiTheme="majorBidi" w:cstheme="majorBidi"/>
          <w:sz w:val="24"/>
          <w:szCs w:val="24"/>
          <w:lang w:bidi="ar-IQ"/>
        </w:rPr>
        <w:t xml:space="preserve">There are few studies discussing the effects of hypertriglyceridemia on glycosylated hemoglobin (HbA1c) test. In the current study, it was found that </w:t>
      </w:r>
      <w:r w:rsidRPr="00413F4E">
        <w:rPr>
          <w:rFonts w:asciiTheme="majorBidi" w:hAnsiTheme="majorBidi" w:cstheme="majorBidi"/>
          <w:sz w:val="24"/>
          <w:szCs w:val="24"/>
        </w:rPr>
        <w:t xml:space="preserve">severe hypertriglyceridemia has a significant impact on HbA1c test results in the </w:t>
      </w:r>
      <w:r w:rsidRPr="00413F4E">
        <w:rPr>
          <w:rFonts w:asciiTheme="majorBidi" w:hAnsiTheme="majorBidi" w:cstheme="majorBidi"/>
          <w:sz w:val="24"/>
          <w:szCs w:val="24"/>
        </w:rPr>
        <w:t>diabetic patients (type</w:t>
      </w:r>
      <w:r w:rsidR="006A480E">
        <w:rPr>
          <w:rFonts w:asciiTheme="majorBidi" w:hAnsiTheme="majorBidi" w:cstheme="majorBidi"/>
          <w:sz w:val="24"/>
          <w:szCs w:val="24"/>
        </w:rPr>
        <w:t>-</w:t>
      </w:r>
      <w:r w:rsidRPr="00413F4E">
        <w:rPr>
          <w:rFonts w:asciiTheme="majorBidi" w:hAnsiTheme="majorBidi" w:cstheme="majorBidi"/>
          <w:sz w:val="24"/>
          <w:szCs w:val="24"/>
        </w:rPr>
        <w:t>2). The HbA1c values in the diabetic patients (type</w:t>
      </w:r>
      <w:r w:rsidR="006A480E">
        <w:rPr>
          <w:rFonts w:asciiTheme="majorBidi" w:hAnsiTheme="majorBidi" w:cstheme="majorBidi"/>
          <w:sz w:val="24"/>
          <w:szCs w:val="24"/>
        </w:rPr>
        <w:t>-</w:t>
      </w:r>
      <w:r w:rsidRPr="00413F4E">
        <w:rPr>
          <w:rFonts w:asciiTheme="majorBidi" w:hAnsiTheme="majorBidi" w:cstheme="majorBidi"/>
          <w:sz w:val="24"/>
          <w:szCs w:val="24"/>
        </w:rPr>
        <w:t>2) with severe hypertriglyceridemia are unpredictable, they may be equal to, higher or lower than the actual values.</w:t>
      </w:r>
      <w:r>
        <w:rPr>
          <w:rFonts w:asciiTheme="majorBidi" w:hAnsiTheme="majorBidi" w:cstheme="majorBidi"/>
          <w:sz w:val="24"/>
          <w:szCs w:val="24"/>
        </w:rPr>
        <w:t xml:space="preserve"> </w:t>
      </w:r>
      <w:r w:rsidRPr="00413F4E">
        <w:rPr>
          <w:rFonts w:asciiTheme="majorBidi" w:hAnsiTheme="majorBidi" w:cstheme="majorBidi"/>
          <w:sz w:val="24"/>
          <w:szCs w:val="24"/>
          <w:lang w:bidi="ar-IQ"/>
        </w:rPr>
        <w:t>There was no statistically significant difference between the mean HbA1c of diabetic patients (type</w:t>
      </w:r>
      <w:r w:rsidR="000229CE">
        <w:rPr>
          <w:rFonts w:asciiTheme="majorBidi" w:hAnsiTheme="majorBidi" w:cstheme="majorBidi"/>
          <w:sz w:val="24"/>
          <w:szCs w:val="24"/>
          <w:lang w:bidi="ar-IQ"/>
        </w:rPr>
        <w:t>-</w:t>
      </w:r>
      <w:r w:rsidRPr="00413F4E">
        <w:rPr>
          <w:rFonts w:asciiTheme="majorBidi" w:hAnsiTheme="majorBidi" w:cstheme="majorBidi"/>
          <w:sz w:val="24"/>
          <w:szCs w:val="24"/>
          <w:lang w:bidi="ar-IQ"/>
        </w:rPr>
        <w:t xml:space="preserve">2) with severe hypertriglyceridemia and those with normal triglycerides levels in the FBS range 72-129 mg/dl, 150-169 mg/dl and 170-199 mg/dl. These findings are consistent with a study published on the </w:t>
      </w:r>
      <w:r w:rsidRPr="00413F4E">
        <w:rPr>
          <w:rFonts w:asciiTheme="majorBidi" w:hAnsiTheme="majorBidi" w:cstheme="majorBidi"/>
          <w:color w:val="000000"/>
          <w:sz w:val="24"/>
          <w:szCs w:val="24"/>
        </w:rPr>
        <w:t>12</w:t>
      </w:r>
      <w:r w:rsidRPr="00413F4E">
        <w:rPr>
          <w:rFonts w:asciiTheme="majorBidi" w:hAnsiTheme="majorBidi" w:cstheme="majorBidi"/>
          <w:color w:val="000000"/>
          <w:sz w:val="24"/>
          <w:szCs w:val="24"/>
          <w:vertAlign w:val="superscript"/>
        </w:rPr>
        <w:t>th</w:t>
      </w:r>
      <w:r w:rsidRPr="00413F4E">
        <w:rPr>
          <w:rFonts w:asciiTheme="majorBidi" w:hAnsiTheme="majorBidi" w:cstheme="majorBidi"/>
          <w:color w:val="000000"/>
          <w:sz w:val="24"/>
          <w:szCs w:val="24"/>
        </w:rPr>
        <w:t xml:space="preserve"> of February, 2019 by Rene Rodriguez-Gutierrez et al. in which they included 44 patients with hypertriglyceridemia (TG values 378-2986 mg/dl). Most of them had DM (77.3%) and 50% had type 2 DM. They measured the HbA1c values at the beginning of the study and then, after a rapid reduction of triglycerides levels, they measured HbA1c values again. They found that hypertriglyceridemia had no significant impact on HbA1c values</w:t>
      </w:r>
      <w:r>
        <w:rPr>
          <w:rFonts w:asciiTheme="majorBidi" w:hAnsiTheme="majorBidi" w:cstheme="majorBidi"/>
          <w:color w:val="000000"/>
          <w:sz w:val="24"/>
          <w:szCs w:val="24"/>
        </w:rPr>
        <w:t>.</w:t>
      </w:r>
      <w:proofErr w:type="gramStart"/>
      <w:r>
        <w:rPr>
          <w:rFonts w:asciiTheme="majorBidi" w:hAnsiTheme="majorBidi" w:cstheme="majorBidi"/>
          <w:color w:val="000000"/>
          <w:sz w:val="24"/>
          <w:szCs w:val="24"/>
          <w:vertAlign w:val="superscript"/>
        </w:rPr>
        <w:t>11</w:t>
      </w:r>
      <w:r w:rsidRPr="00413F4E">
        <w:rPr>
          <w:rFonts w:asciiTheme="majorBidi" w:hAnsiTheme="majorBidi" w:cstheme="majorBidi"/>
          <w:sz w:val="24"/>
          <w:szCs w:val="24"/>
          <w:lang w:bidi="ar-IQ"/>
        </w:rPr>
        <w:t xml:space="preserve">  In</w:t>
      </w:r>
      <w:proofErr w:type="gramEnd"/>
      <w:r w:rsidRPr="00413F4E">
        <w:rPr>
          <w:rFonts w:asciiTheme="majorBidi" w:hAnsiTheme="majorBidi" w:cstheme="majorBidi"/>
          <w:sz w:val="24"/>
          <w:szCs w:val="24"/>
          <w:lang w:bidi="ar-IQ"/>
        </w:rPr>
        <w:t xml:space="preserve"> the FBS range 130-149 mg/dl, the mean HbA1c in the diabetic patients (type 2) with severe hypertriglyceridemia was higher than of those with normal triglycerides levels by 1.33% with a statistically significant p-value.</w:t>
      </w:r>
      <w:r>
        <w:rPr>
          <w:rFonts w:asciiTheme="majorBidi" w:hAnsiTheme="majorBidi" w:cstheme="majorBidi"/>
          <w:sz w:val="24"/>
          <w:szCs w:val="24"/>
          <w:lang w:bidi="ar-IQ"/>
        </w:rPr>
        <w:t xml:space="preserve"> </w:t>
      </w:r>
      <w:r w:rsidRPr="00413F4E">
        <w:rPr>
          <w:rFonts w:asciiTheme="majorBidi" w:hAnsiTheme="majorBidi" w:cstheme="majorBidi"/>
          <w:color w:val="000000"/>
          <w:sz w:val="24"/>
          <w:szCs w:val="24"/>
        </w:rPr>
        <w:t xml:space="preserve"> In a study with a similar finding, </w:t>
      </w:r>
      <w:proofErr w:type="spellStart"/>
      <w:r w:rsidRPr="00413F4E">
        <w:rPr>
          <w:rFonts w:asciiTheme="majorBidi" w:hAnsiTheme="majorBidi" w:cstheme="majorBidi"/>
          <w:color w:val="000000"/>
          <w:sz w:val="24"/>
          <w:szCs w:val="24"/>
        </w:rPr>
        <w:t>Falko</w:t>
      </w:r>
      <w:proofErr w:type="spellEnd"/>
      <w:r w:rsidRPr="00413F4E">
        <w:rPr>
          <w:rFonts w:asciiTheme="majorBidi" w:hAnsiTheme="majorBidi" w:cstheme="majorBidi"/>
          <w:color w:val="000000"/>
          <w:sz w:val="24"/>
          <w:szCs w:val="24"/>
        </w:rPr>
        <w:t xml:space="preserve"> et al.</w:t>
      </w:r>
      <w:r w:rsidRPr="00413F4E">
        <w:rPr>
          <w:rFonts w:asciiTheme="majorBidi" w:hAnsiTheme="majorBidi" w:cstheme="majorBidi"/>
          <w:sz w:val="24"/>
          <w:szCs w:val="24"/>
        </w:rPr>
        <w:t xml:space="preserve"> </w:t>
      </w:r>
      <w:r w:rsidRPr="00413F4E">
        <w:rPr>
          <w:rFonts w:asciiTheme="majorBidi" w:hAnsiTheme="majorBidi" w:cstheme="majorBidi"/>
          <w:sz w:val="24"/>
          <w:szCs w:val="24"/>
          <w:lang w:bidi="ar-IQ"/>
        </w:rPr>
        <w:t>published a case study of misleading HbA1c increase in a woman with type 2 DM and severe hypertriglyceridemia (23,000 mg/dl). They analyzed these findings further by washing out the patient's samples with saline solution to determine if severe hypertriglyceridemia was interfering with the HbA1c result because HbA1c did not accurately correspond with glycemic control (HbA1c =28.5% and FBS=400mg/dl). They reached the conclusion that HbA1c was falsely elevated when triglycerides levels were above 1750 mg/dl</w:t>
      </w:r>
      <w:r>
        <w:rPr>
          <w:rFonts w:asciiTheme="majorBidi" w:hAnsiTheme="majorBidi" w:cstheme="majorBidi"/>
          <w:sz w:val="24"/>
          <w:szCs w:val="24"/>
          <w:lang w:bidi="ar-IQ"/>
        </w:rPr>
        <w:t>.</w:t>
      </w:r>
      <w:proofErr w:type="gramStart"/>
      <w:r>
        <w:rPr>
          <w:rFonts w:asciiTheme="majorBidi" w:hAnsiTheme="majorBidi" w:cstheme="majorBidi"/>
          <w:sz w:val="24"/>
          <w:szCs w:val="24"/>
          <w:vertAlign w:val="superscript"/>
          <w:lang w:bidi="ar-IQ"/>
        </w:rPr>
        <w:t>12</w:t>
      </w:r>
      <w:r w:rsidRPr="00413F4E">
        <w:rPr>
          <w:rFonts w:asciiTheme="majorBidi" w:hAnsiTheme="majorBidi" w:cstheme="majorBidi"/>
          <w:sz w:val="24"/>
          <w:szCs w:val="24"/>
          <w:lang w:bidi="ar-IQ"/>
        </w:rPr>
        <w:t xml:space="preserve">  While</w:t>
      </w:r>
      <w:proofErr w:type="gramEnd"/>
      <w:r w:rsidRPr="00413F4E">
        <w:rPr>
          <w:rFonts w:asciiTheme="majorBidi" w:hAnsiTheme="majorBidi" w:cstheme="majorBidi"/>
          <w:sz w:val="24"/>
          <w:szCs w:val="24"/>
          <w:lang w:bidi="ar-IQ"/>
        </w:rPr>
        <w:t xml:space="preserve"> the mean HbA1c in the diabetic patients (type 2) with severe hypertriglyceridemia was lower than of those </w:t>
      </w:r>
      <w:r w:rsidRPr="00413F4E">
        <w:rPr>
          <w:rFonts w:asciiTheme="majorBidi" w:hAnsiTheme="majorBidi" w:cstheme="majorBidi"/>
          <w:sz w:val="24"/>
          <w:szCs w:val="24"/>
          <w:lang w:bidi="ar-IQ"/>
        </w:rPr>
        <w:lastRenderedPageBreak/>
        <w:t xml:space="preserve">with normal triglycerides levels in the FBS range </w:t>
      </w:r>
      <w:bookmarkStart w:id="7" w:name="_Hlk138964624"/>
      <w:bookmarkEnd w:id="6"/>
      <w:r w:rsidRPr="00413F4E">
        <w:rPr>
          <w:rFonts w:asciiTheme="majorBidi" w:hAnsiTheme="majorBidi" w:cstheme="majorBidi"/>
          <w:sz w:val="24"/>
          <w:szCs w:val="24"/>
          <w:lang w:bidi="ar-IQ"/>
        </w:rPr>
        <w:t>200-229 mg/dl, 230-259 mg/dl, 260-299 mg/dl, 300-349 mg/dl and 350-399 mg/dl by 1.02%, 0.85%, 1.77%, 2.29% and 2.23%, respectively, with a statistically significant p-value.</w:t>
      </w:r>
      <w:r>
        <w:rPr>
          <w:rFonts w:asciiTheme="majorBidi" w:hAnsiTheme="majorBidi" w:cstheme="majorBidi"/>
          <w:sz w:val="24"/>
          <w:szCs w:val="24"/>
          <w:lang w:bidi="ar-IQ"/>
        </w:rPr>
        <w:t xml:space="preserve"> </w:t>
      </w:r>
      <w:r w:rsidRPr="00413F4E">
        <w:rPr>
          <w:rFonts w:asciiTheme="majorBidi" w:hAnsiTheme="majorBidi" w:cstheme="majorBidi"/>
          <w:color w:val="000000"/>
          <w:sz w:val="24"/>
          <w:szCs w:val="24"/>
        </w:rPr>
        <w:t xml:space="preserve">As matched to these findings, </w:t>
      </w:r>
      <w:proofErr w:type="spellStart"/>
      <w:r w:rsidRPr="00413F4E">
        <w:rPr>
          <w:rFonts w:asciiTheme="majorBidi" w:hAnsiTheme="majorBidi" w:cstheme="majorBidi"/>
          <w:color w:val="000000"/>
          <w:sz w:val="24"/>
          <w:szCs w:val="24"/>
        </w:rPr>
        <w:t>Garrib</w:t>
      </w:r>
      <w:proofErr w:type="spellEnd"/>
      <w:r w:rsidRPr="00413F4E">
        <w:rPr>
          <w:rFonts w:asciiTheme="majorBidi" w:hAnsiTheme="majorBidi" w:cstheme="majorBidi"/>
          <w:color w:val="000000"/>
          <w:sz w:val="24"/>
          <w:szCs w:val="24"/>
        </w:rPr>
        <w:t xml:space="preserve"> et al. reported a case of falsely low HbA1c</w:t>
      </w:r>
      <w:r w:rsidRPr="00413F4E">
        <w:rPr>
          <w:rFonts w:asciiTheme="majorBidi" w:hAnsiTheme="majorBidi" w:cstheme="majorBidi"/>
          <w:sz w:val="24"/>
          <w:szCs w:val="24"/>
          <w:lang w:bidi="ar-IQ"/>
        </w:rPr>
        <w:t>. They detected a diabetic patient with an HbA1c of 4.8%, blood glucose monitoring of 200-325 mg/dl, and triglycerides level of 2388 mg/dl. After washing out the samples with saline solution, they re-evaluated the test. It showed a more accurate HbA1c for the glycemic control of the patient than in the prior trial (HbA1c=12.2%). Furthermore, they evaluated the HbA1c and triglycerides of 98 patients with diabetes and found that when triglycerides levels were &gt;1320 mg/dl, HbA1c increased significantly in the washed samples (P=0.0001)</w:t>
      </w:r>
      <w:r>
        <w:rPr>
          <w:rFonts w:asciiTheme="majorBidi" w:hAnsiTheme="majorBidi" w:cstheme="majorBidi"/>
          <w:sz w:val="24"/>
          <w:szCs w:val="24"/>
          <w:vertAlign w:val="superscript"/>
          <w:lang w:bidi="ar-IQ"/>
        </w:rPr>
        <w:t>.13</w:t>
      </w:r>
    </w:p>
    <w:p w14:paraId="19C53886" w14:textId="77777777" w:rsidR="005B061D" w:rsidRPr="00413F4E" w:rsidRDefault="005B061D" w:rsidP="000229CE">
      <w:pPr>
        <w:tabs>
          <w:tab w:val="left" w:pos="3225"/>
        </w:tabs>
        <w:bidi w:val="0"/>
        <w:spacing w:after="0"/>
        <w:ind w:right="51"/>
        <w:jc w:val="both"/>
        <w:rPr>
          <w:rFonts w:asciiTheme="majorBidi" w:hAnsiTheme="majorBidi" w:cstheme="majorBidi"/>
          <w:b/>
          <w:bCs/>
          <w:sz w:val="24"/>
          <w:szCs w:val="24"/>
          <w:rtl/>
          <w:lang w:bidi="ar-IQ"/>
        </w:rPr>
      </w:pPr>
      <w:r w:rsidRPr="00413F4E">
        <w:rPr>
          <w:rFonts w:asciiTheme="majorBidi" w:hAnsiTheme="majorBidi" w:cstheme="majorBidi"/>
          <w:b/>
          <w:bCs/>
          <w:sz w:val="24"/>
          <w:szCs w:val="24"/>
          <w:lang w:bidi="ar-IQ"/>
        </w:rPr>
        <w:t xml:space="preserve">Limitations of the study: </w:t>
      </w:r>
    </w:p>
    <w:p w14:paraId="3E163C54" w14:textId="77777777" w:rsidR="005B061D" w:rsidRPr="00413F4E" w:rsidRDefault="005B061D" w:rsidP="000229CE">
      <w:pPr>
        <w:tabs>
          <w:tab w:val="left" w:pos="3225"/>
        </w:tabs>
        <w:bidi w:val="0"/>
        <w:ind w:right="51"/>
        <w:jc w:val="both"/>
        <w:rPr>
          <w:rFonts w:asciiTheme="majorBidi" w:hAnsiTheme="majorBidi" w:cstheme="majorBidi"/>
          <w:sz w:val="24"/>
          <w:szCs w:val="24"/>
          <w:rtl/>
          <w:lang w:bidi="ar-IQ"/>
        </w:rPr>
      </w:pPr>
      <w:r w:rsidRPr="00413F4E">
        <w:rPr>
          <w:rFonts w:asciiTheme="majorBidi" w:hAnsiTheme="majorBidi" w:cstheme="majorBidi"/>
          <w:sz w:val="24"/>
          <w:szCs w:val="24"/>
          <w:lang w:bidi="ar-IQ"/>
        </w:rPr>
        <w:t xml:space="preserve">The small sample size may affect the results due to its impact on the statistical analysis. </w:t>
      </w:r>
      <w:proofErr w:type="gramStart"/>
      <w:r w:rsidRPr="00413F4E">
        <w:rPr>
          <w:rFonts w:asciiTheme="majorBidi" w:hAnsiTheme="majorBidi" w:cstheme="majorBidi"/>
          <w:sz w:val="24"/>
          <w:szCs w:val="24"/>
          <w:lang w:bidi="ar-IQ"/>
        </w:rPr>
        <w:t>Also</w:t>
      </w:r>
      <w:proofErr w:type="gramEnd"/>
      <w:r w:rsidRPr="00413F4E">
        <w:rPr>
          <w:rFonts w:asciiTheme="majorBidi" w:hAnsiTheme="majorBidi" w:cstheme="majorBidi"/>
          <w:sz w:val="24"/>
          <w:szCs w:val="24"/>
          <w:lang w:bidi="ar-IQ"/>
        </w:rPr>
        <w:t xml:space="preserve"> The retrospective nature of the study may not show the complete picture of the impact of severe hypertriglyceridemia on the readings of HbA1c. and Post-prandial glucose was not measured in this study and the comparison of HbA1c between the diabetic patients (type</w:t>
      </w:r>
      <w:r>
        <w:rPr>
          <w:rFonts w:asciiTheme="majorBidi" w:hAnsiTheme="majorBidi" w:cstheme="majorBidi"/>
          <w:sz w:val="24"/>
          <w:szCs w:val="24"/>
          <w:lang w:bidi="ar-IQ"/>
        </w:rPr>
        <w:t>-</w:t>
      </w:r>
      <w:r w:rsidRPr="00413F4E">
        <w:rPr>
          <w:rFonts w:asciiTheme="majorBidi" w:hAnsiTheme="majorBidi" w:cstheme="majorBidi"/>
          <w:sz w:val="24"/>
          <w:szCs w:val="24"/>
          <w:lang w:bidi="ar-IQ"/>
        </w:rPr>
        <w:t>2) with severe hypertriglyceridemia and those with normal triglycerides levels adjusted to the values of FBS alone.</w:t>
      </w:r>
    </w:p>
    <w:p w14:paraId="658CF4D7" w14:textId="77777777" w:rsidR="00301881" w:rsidRDefault="005B061D" w:rsidP="000229CE">
      <w:pPr>
        <w:bidi w:val="0"/>
        <w:spacing w:after="0"/>
        <w:ind w:right="51"/>
        <w:jc w:val="both"/>
        <w:outlineLvl w:val="4"/>
        <w:rPr>
          <w:rFonts w:asciiTheme="majorBidi" w:hAnsiTheme="majorBidi" w:cstheme="majorBidi"/>
          <w:sz w:val="24"/>
          <w:szCs w:val="24"/>
          <w:lang w:bidi="ar-IQ"/>
        </w:rPr>
      </w:pPr>
      <w:r w:rsidRPr="00FD738A">
        <w:rPr>
          <w:rFonts w:asciiTheme="majorBidi" w:eastAsia="Times New Roman" w:hAnsiTheme="majorBidi" w:cstheme="majorBidi"/>
          <w:b/>
          <w:bCs/>
          <w:i/>
          <w:iCs/>
          <w:color w:val="000000"/>
          <w:sz w:val="24"/>
          <w:szCs w:val="24"/>
        </w:rPr>
        <w:t xml:space="preserve">Conclusion &amp; </w:t>
      </w:r>
      <w:r w:rsidRPr="00FD738A">
        <w:rPr>
          <w:rFonts w:asciiTheme="majorBidi" w:hAnsiTheme="majorBidi" w:cstheme="majorBidi"/>
          <w:b/>
          <w:bCs/>
          <w:i/>
          <w:iCs/>
          <w:sz w:val="24"/>
          <w:szCs w:val="24"/>
          <w:lang w:bidi="ar-IQ"/>
        </w:rPr>
        <w:t>recommendation</w:t>
      </w:r>
      <w:r>
        <w:rPr>
          <w:rFonts w:asciiTheme="majorBidi" w:eastAsia="Times New Roman" w:hAnsiTheme="majorBidi" w:cstheme="majorBidi"/>
          <w:b/>
          <w:bCs/>
          <w:i/>
          <w:iCs/>
          <w:color w:val="000000"/>
          <w:sz w:val="24"/>
          <w:szCs w:val="24"/>
        </w:rPr>
        <w:t xml:space="preserve">, </w:t>
      </w:r>
      <w:r w:rsidRPr="00413F4E">
        <w:rPr>
          <w:rFonts w:asciiTheme="majorBidi" w:hAnsiTheme="majorBidi" w:cstheme="majorBidi"/>
          <w:color w:val="000000"/>
          <w:sz w:val="24"/>
          <w:szCs w:val="24"/>
        </w:rPr>
        <w:t>I</w:t>
      </w:r>
      <w:r w:rsidRPr="00413F4E">
        <w:rPr>
          <w:rFonts w:asciiTheme="majorBidi" w:hAnsiTheme="majorBidi" w:cstheme="majorBidi"/>
          <w:sz w:val="24"/>
          <w:szCs w:val="24"/>
          <w:lang w:bidi="ar-IQ"/>
        </w:rPr>
        <w:t>n the setting of elevated triglycerides, doctors face uncertainty when assessing HbA1c readings. Our results suggest that severe hypertriglyceridemia has a significant impact on HbA1c test results. The HbA1c values in diabetic patients (type</w:t>
      </w:r>
      <w:r>
        <w:rPr>
          <w:rFonts w:asciiTheme="majorBidi" w:hAnsiTheme="majorBidi" w:cstheme="majorBidi"/>
          <w:sz w:val="24"/>
          <w:szCs w:val="24"/>
          <w:lang w:bidi="ar-IQ"/>
        </w:rPr>
        <w:t>-</w:t>
      </w:r>
      <w:r w:rsidRPr="00413F4E">
        <w:rPr>
          <w:rFonts w:asciiTheme="majorBidi" w:hAnsiTheme="majorBidi" w:cstheme="majorBidi"/>
          <w:sz w:val="24"/>
          <w:szCs w:val="24"/>
          <w:lang w:bidi="ar-IQ"/>
        </w:rPr>
        <w:t xml:space="preserve">2) with severe hypertriglyceridemia are unpredictable. They may be equal to, higher or lower than the </w:t>
      </w:r>
      <w:r w:rsidRPr="00413F4E">
        <w:rPr>
          <w:rFonts w:asciiTheme="majorBidi" w:hAnsiTheme="majorBidi" w:cstheme="majorBidi"/>
          <w:sz w:val="24"/>
          <w:szCs w:val="24"/>
          <w:lang w:bidi="ar-IQ"/>
        </w:rPr>
        <w:t>actual values.</w:t>
      </w:r>
      <w:r>
        <w:rPr>
          <w:rFonts w:asciiTheme="majorBidi" w:hAnsiTheme="majorBidi" w:cstheme="majorBidi"/>
          <w:sz w:val="24"/>
          <w:szCs w:val="24"/>
          <w:lang w:bidi="ar-IQ"/>
        </w:rPr>
        <w:t xml:space="preserve"> </w:t>
      </w:r>
      <w:r w:rsidRPr="00413F4E">
        <w:rPr>
          <w:rFonts w:asciiTheme="majorBidi" w:hAnsiTheme="majorBidi" w:cstheme="majorBidi"/>
          <w:sz w:val="24"/>
          <w:szCs w:val="24"/>
          <w:lang w:bidi="ar-IQ"/>
        </w:rPr>
        <w:t xml:space="preserve">Then we recommend that when assessing glycemic control of patients with type 2 DM, doctors should pay attention to the patients' triglycerides levels as severe hypertriglyceridemia may lead to falsely higher or lower HbA1c readings and hence gives a wrong estimation of the patients' glycemic control leading eventually to improper decisions regarding treatment regimes. </w:t>
      </w:r>
      <w:proofErr w:type="gramStart"/>
      <w:r w:rsidRPr="00413F4E">
        <w:rPr>
          <w:rFonts w:asciiTheme="majorBidi" w:hAnsiTheme="majorBidi" w:cstheme="majorBidi"/>
          <w:sz w:val="24"/>
          <w:szCs w:val="24"/>
          <w:lang w:bidi="ar-IQ"/>
        </w:rPr>
        <w:t>Also</w:t>
      </w:r>
      <w:proofErr w:type="gramEnd"/>
      <w:r w:rsidRPr="00413F4E">
        <w:rPr>
          <w:rFonts w:asciiTheme="majorBidi" w:hAnsiTheme="majorBidi" w:cstheme="majorBidi"/>
          <w:sz w:val="24"/>
          <w:szCs w:val="24"/>
          <w:lang w:bidi="ar-IQ"/>
        </w:rPr>
        <w:t xml:space="preserve"> doctors should rely more on repeated FBS and RBS readings instead of HbA1c tests to assess the control of diabetes in diabetic patients (Type</w:t>
      </w:r>
      <w:r>
        <w:rPr>
          <w:rFonts w:asciiTheme="majorBidi" w:hAnsiTheme="majorBidi" w:cstheme="majorBidi"/>
          <w:sz w:val="24"/>
          <w:szCs w:val="24"/>
          <w:lang w:bidi="ar-IQ"/>
        </w:rPr>
        <w:t>-</w:t>
      </w:r>
      <w:r w:rsidRPr="00413F4E">
        <w:rPr>
          <w:rFonts w:asciiTheme="majorBidi" w:hAnsiTheme="majorBidi" w:cstheme="majorBidi"/>
          <w:sz w:val="24"/>
          <w:szCs w:val="24"/>
          <w:lang w:bidi="ar-IQ"/>
        </w:rPr>
        <w:t>2) with severe hypertriglyceridemia.</w:t>
      </w:r>
    </w:p>
    <w:p w14:paraId="077AA1D3" w14:textId="77777777" w:rsidR="00301881" w:rsidRDefault="00301881" w:rsidP="000229CE">
      <w:pPr>
        <w:bidi w:val="0"/>
        <w:spacing w:after="0"/>
        <w:ind w:right="51"/>
        <w:jc w:val="both"/>
        <w:outlineLvl w:val="4"/>
        <w:rPr>
          <w:rFonts w:asciiTheme="majorBidi" w:hAnsiTheme="majorBidi" w:cstheme="majorBidi"/>
          <w:sz w:val="24"/>
          <w:szCs w:val="24"/>
          <w:lang w:bidi="ar-IQ"/>
        </w:rPr>
      </w:pPr>
    </w:p>
    <w:p w14:paraId="0EC8E8B3" w14:textId="1A197C6F" w:rsidR="005B061D" w:rsidRPr="00B567B4" w:rsidRDefault="005B061D" w:rsidP="000229CE">
      <w:pPr>
        <w:bidi w:val="0"/>
        <w:spacing w:after="0"/>
        <w:ind w:right="51"/>
        <w:jc w:val="both"/>
        <w:outlineLvl w:val="4"/>
        <w:rPr>
          <w:rFonts w:ascii="Arial Black" w:hAnsi="Arial Black" w:cstheme="majorBidi"/>
          <w:sz w:val="24"/>
          <w:szCs w:val="24"/>
          <w:lang w:bidi="ar-IQ"/>
        </w:rPr>
      </w:pPr>
      <w:r w:rsidRPr="00B567B4">
        <w:rPr>
          <w:rFonts w:ascii="Arial Black" w:hAnsi="Arial Black" w:cstheme="majorBidi"/>
          <w:sz w:val="24"/>
          <w:szCs w:val="24"/>
          <w:lang w:bidi="ar-IQ"/>
        </w:rPr>
        <w:t>References</w:t>
      </w:r>
    </w:p>
    <w:bookmarkStart w:id="8" w:name="_Hlk138964647"/>
    <w:p w14:paraId="4C93D9F7" w14:textId="615AB176"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B567B4">
        <w:rPr>
          <w:rFonts w:asciiTheme="majorBidi" w:hAnsiTheme="majorBidi" w:cstheme="majorBidi"/>
          <w:sz w:val="24"/>
          <w:szCs w:val="24"/>
        </w:rPr>
        <w:fldChar w:fldCharType="begin"/>
      </w:r>
      <w:r w:rsidRPr="00EA72CE">
        <w:rPr>
          <w:rFonts w:asciiTheme="majorBidi" w:hAnsiTheme="majorBidi" w:cstheme="majorBidi"/>
          <w:sz w:val="24"/>
          <w:szCs w:val="24"/>
        </w:rPr>
        <w:instrText xml:space="preserve"> ADDIN EN.REFLIST </w:instrText>
      </w:r>
      <w:r w:rsidRPr="00B567B4">
        <w:rPr>
          <w:rFonts w:asciiTheme="majorBidi" w:hAnsiTheme="majorBidi" w:cstheme="majorBidi"/>
          <w:sz w:val="24"/>
          <w:szCs w:val="24"/>
        </w:rPr>
        <w:fldChar w:fldCharType="separate"/>
      </w:r>
      <w:r w:rsidRPr="00EA72CE">
        <w:rPr>
          <w:rFonts w:asciiTheme="majorBidi" w:hAnsiTheme="majorBidi" w:cstheme="majorBidi"/>
          <w:sz w:val="24"/>
          <w:szCs w:val="24"/>
        </w:rPr>
        <w:t>American Diabetes Association. Third-party reimbursement for diabetes care, self-management education, and supplies. Diabetes Care. 2007 Jan;</w:t>
      </w:r>
      <w:r w:rsidR="00EA72CE">
        <w:rPr>
          <w:rFonts w:asciiTheme="majorBidi" w:hAnsiTheme="majorBidi" w:cstheme="majorBidi"/>
          <w:sz w:val="24"/>
          <w:szCs w:val="24"/>
        </w:rPr>
        <w:t xml:space="preserve"> </w:t>
      </w:r>
      <w:r w:rsidRPr="00EA72CE">
        <w:rPr>
          <w:rFonts w:asciiTheme="majorBidi" w:hAnsiTheme="majorBidi" w:cstheme="majorBidi"/>
          <w:sz w:val="24"/>
          <w:szCs w:val="24"/>
        </w:rPr>
        <w:t>30:</w:t>
      </w:r>
      <w:r w:rsidR="00EA72CE">
        <w:rPr>
          <w:rFonts w:asciiTheme="majorBidi" w:hAnsiTheme="majorBidi" w:cstheme="majorBidi"/>
          <w:sz w:val="24"/>
          <w:szCs w:val="24"/>
        </w:rPr>
        <w:t xml:space="preserve"> </w:t>
      </w:r>
      <w:r w:rsidRPr="00EA72CE">
        <w:rPr>
          <w:rFonts w:asciiTheme="majorBidi" w:hAnsiTheme="majorBidi" w:cstheme="majorBidi"/>
          <w:sz w:val="24"/>
          <w:szCs w:val="24"/>
        </w:rPr>
        <w:t>S86-7.</w:t>
      </w:r>
    </w:p>
    <w:p w14:paraId="5F1DC8BF" w14:textId="6F56E956"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Gillett MJ. International expert committee report on the role of the A1c assay in the diagnosis of diabetes: diabetes care 2009; 32 (7): 1327–1334. The Clinical Biochemist Reviews. 2009 Nov;</w:t>
      </w:r>
      <w:r w:rsidR="00EA72CE">
        <w:rPr>
          <w:rFonts w:asciiTheme="majorBidi" w:hAnsiTheme="majorBidi" w:cstheme="majorBidi"/>
          <w:sz w:val="24"/>
          <w:szCs w:val="24"/>
        </w:rPr>
        <w:t xml:space="preserve"> </w:t>
      </w:r>
      <w:r w:rsidRPr="00EA72CE">
        <w:rPr>
          <w:rFonts w:asciiTheme="majorBidi" w:hAnsiTheme="majorBidi" w:cstheme="majorBidi"/>
          <w:sz w:val="24"/>
          <w:szCs w:val="24"/>
        </w:rPr>
        <w:t>30(4):197.</w:t>
      </w:r>
    </w:p>
    <w:p w14:paraId="14AB366F" w14:textId="7DD72E52"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Reynolds TM, Smellie WSA, Twomey PJ. Glycated haemoglobin (HbA1c) monitoring. Bmj. 2006;</w:t>
      </w:r>
      <w:r w:rsidR="006A480E" w:rsidRPr="00EA72CE">
        <w:rPr>
          <w:rFonts w:asciiTheme="majorBidi" w:hAnsiTheme="majorBidi" w:cstheme="majorBidi"/>
          <w:sz w:val="24"/>
          <w:szCs w:val="24"/>
        </w:rPr>
        <w:t xml:space="preserve"> </w:t>
      </w:r>
      <w:r w:rsidRPr="00EA72CE">
        <w:rPr>
          <w:rFonts w:asciiTheme="majorBidi" w:hAnsiTheme="majorBidi" w:cstheme="majorBidi"/>
          <w:sz w:val="24"/>
          <w:szCs w:val="24"/>
        </w:rPr>
        <w:t>333(7568):586-</w:t>
      </w:r>
      <w:r w:rsidR="00EA72CE">
        <w:rPr>
          <w:rFonts w:asciiTheme="majorBidi" w:hAnsiTheme="majorBidi" w:cstheme="majorBidi"/>
          <w:sz w:val="24"/>
          <w:szCs w:val="24"/>
        </w:rPr>
        <w:t>58</w:t>
      </w:r>
      <w:r w:rsidRPr="00EA72CE">
        <w:rPr>
          <w:rFonts w:asciiTheme="majorBidi" w:hAnsiTheme="majorBidi" w:cstheme="majorBidi"/>
          <w:sz w:val="24"/>
          <w:szCs w:val="24"/>
        </w:rPr>
        <w:t>8.</w:t>
      </w:r>
    </w:p>
    <w:p w14:paraId="0753FB26" w14:textId="318340A0"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American Diabetes Association. Standards of medical care in diabetes—2009. Diabetes care. 2009 Jan;</w:t>
      </w:r>
      <w:r w:rsidR="00EA72CE">
        <w:rPr>
          <w:rFonts w:asciiTheme="majorBidi" w:hAnsiTheme="majorBidi" w:cstheme="majorBidi"/>
          <w:sz w:val="24"/>
          <w:szCs w:val="24"/>
        </w:rPr>
        <w:t xml:space="preserve"> </w:t>
      </w:r>
      <w:r w:rsidRPr="00EA72CE">
        <w:rPr>
          <w:rFonts w:asciiTheme="majorBidi" w:hAnsiTheme="majorBidi" w:cstheme="majorBidi"/>
          <w:sz w:val="24"/>
          <w:szCs w:val="24"/>
        </w:rPr>
        <w:t>32(Suppl 1):</w:t>
      </w:r>
      <w:r w:rsidR="00EA72CE">
        <w:rPr>
          <w:rFonts w:asciiTheme="majorBidi" w:hAnsiTheme="majorBidi" w:cstheme="majorBidi"/>
          <w:sz w:val="24"/>
          <w:szCs w:val="24"/>
        </w:rPr>
        <w:t xml:space="preserve"> </w:t>
      </w:r>
      <w:r w:rsidRPr="00EA72CE">
        <w:rPr>
          <w:rFonts w:asciiTheme="majorBidi" w:hAnsiTheme="majorBidi" w:cstheme="majorBidi"/>
          <w:sz w:val="24"/>
          <w:szCs w:val="24"/>
        </w:rPr>
        <w:t>S13.</w:t>
      </w:r>
    </w:p>
    <w:p w14:paraId="3BD68479" w14:textId="1165EFF4"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Smaldone A. Glycemic control and hemoglobinopathy: when A1C may not be reliable. Diabetes spectrum. 2008;</w:t>
      </w:r>
      <w:r w:rsidR="00EA72CE">
        <w:rPr>
          <w:rFonts w:asciiTheme="majorBidi" w:hAnsiTheme="majorBidi" w:cstheme="majorBidi"/>
          <w:sz w:val="24"/>
          <w:szCs w:val="24"/>
        </w:rPr>
        <w:t xml:space="preserve"> </w:t>
      </w:r>
      <w:r w:rsidRPr="00EA72CE">
        <w:rPr>
          <w:rFonts w:asciiTheme="majorBidi" w:hAnsiTheme="majorBidi" w:cstheme="majorBidi"/>
          <w:sz w:val="24"/>
          <w:szCs w:val="24"/>
        </w:rPr>
        <w:t>21(1):</w:t>
      </w:r>
      <w:r w:rsidR="00EA72CE">
        <w:rPr>
          <w:rFonts w:asciiTheme="majorBidi" w:hAnsiTheme="majorBidi" w:cstheme="majorBidi"/>
          <w:sz w:val="24"/>
          <w:szCs w:val="24"/>
        </w:rPr>
        <w:t xml:space="preserve"> </w:t>
      </w:r>
      <w:r w:rsidRPr="00EA72CE">
        <w:rPr>
          <w:rFonts w:asciiTheme="majorBidi" w:hAnsiTheme="majorBidi" w:cstheme="majorBidi"/>
          <w:sz w:val="24"/>
          <w:szCs w:val="24"/>
        </w:rPr>
        <w:t>46-9.</w:t>
      </w:r>
    </w:p>
    <w:p w14:paraId="2FA4DB1E" w14:textId="4E1433AF"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Ahmad B, Aziz K, Hassan NU, Kaiser RM, Alvi KY. Frequency of hypertriglyceridemia in newly diagnosed type 2 diabetics. PAFMJ. 2016;66(1):88-91.</w:t>
      </w:r>
    </w:p>
    <w:p w14:paraId="6276DA79" w14:textId="09C7BC57"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 xml:space="preserve">Little RR, Roberts WL. A review of variant hemoglobins interfering with hemoglobin </w:t>
      </w:r>
      <w:r w:rsidRPr="00EA72CE">
        <w:rPr>
          <w:rFonts w:asciiTheme="majorBidi" w:hAnsiTheme="majorBidi" w:cstheme="majorBidi"/>
          <w:sz w:val="24"/>
          <w:szCs w:val="24"/>
        </w:rPr>
        <w:lastRenderedPageBreak/>
        <w:t>A1c measurement. Journal of diabetes science and technology. 2009;3(3):446-</w:t>
      </w:r>
      <w:r w:rsidR="00EA72CE">
        <w:rPr>
          <w:rFonts w:asciiTheme="majorBidi" w:hAnsiTheme="majorBidi" w:cstheme="majorBidi"/>
          <w:sz w:val="24"/>
          <w:szCs w:val="24"/>
        </w:rPr>
        <w:t>4</w:t>
      </w:r>
      <w:r w:rsidRPr="00EA72CE">
        <w:rPr>
          <w:rFonts w:asciiTheme="majorBidi" w:hAnsiTheme="majorBidi" w:cstheme="majorBidi"/>
          <w:sz w:val="24"/>
          <w:szCs w:val="24"/>
        </w:rPr>
        <w:t>51.</w:t>
      </w:r>
    </w:p>
    <w:p w14:paraId="04A8463A" w14:textId="0E99F511"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Quispe R, Hendrani AD, Baradaran-Noveiry B, Martin SS, Brown E, Kulkarni KR, et al. Characterization of lipoprotein profiles in patients with hypertriglyceridemic Fredrickson-Levy and Lees dyslipidemia phenotypes: the Very Large Database of Lipids Studies 6 and 7. Archives of Medical Science: AMS. 2019;15(5):1195.</w:t>
      </w:r>
    </w:p>
    <w:p w14:paraId="469AD29F" w14:textId="06451DA9"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Packard CJ, Boren J, Taskinen M-R. Causes and consequences of hypertriglyceridemia. Frontiers in endocrinology. 2020;11:252.</w:t>
      </w:r>
    </w:p>
    <w:p w14:paraId="3C8EF667" w14:textId="7A1029F6"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Endocrine society releases guidelines on diagnosis and management of hypertriglyceridemia. Am Fam Physician. 2013;88(2):142-4.</w:t>
      </w:r>
    </w:p>
    <w:p w14:paraId="538FA2AF" w14:textId="38D6868C"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Rodriguez-Gutierrez R, Mancillas-Adame LG, Rodríguez-Tamez G, Diaz Gonzalez-</w:t>
      </w:r>
      <w:r w:rsidRPr="00EA72CE">
        <w:rPr>
          <w:rFonts w:asciiTheme="majorBidi" w:hAnsiTheme="majorBidi" w:cstheme="majorBidi"/>
          <w:sz w:val="24"/>
          <w:szCs w:val="24"/>
        </w:rPr>
        <w:t>Colmenero A, Solis-Pacheco RC, Elizondo-Plazas AS, et al. Hypertriglyceridemia and Its Association with HbA1c Test: A Prospective Controlled Study. International Journal of Endocrinology. 2019;2019:4784313.</w:t>
      </w:r>
    </w:p>
    <w:p w14:paraId="48610889" w14:textId="6ACD9DEB"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Falko JM, O'Dorisio TM, Cataland S. Spurious Elevations in Glycosylated Hemoglobin (HbA1) Secondary to Hypertriglyceridemia. Archives of Internal Medicine. 1982;142(7):1370-1.</w:t>
      </w:r>
    </w:p>
    <w:p w14:paraId="4D915E5D" w14:textId="32C9FBA5" w:rsidR="005B061D" w:rsidRPr="00EA72CE" w:rsidRDefault="005B061D" w:rsidP="00EA72CE">
      <w:pPr>
        <w:pStyle w:val="ListParagraph"/>
        <w:numPr>
          <w:ilvl w:val="0"/>
          <w:numId w:val="9"/>
        </w:numPr>
        <w:bidi w:val="0"/>
        <w:spacing w:after="0"/>
        <w:ind w:left="426" w:hanging="426"/>
        <w:jc w:val="both"/>
        <w:rPr>
          <w:rFonts w:asciiTheme="majorBidi" w:hAnsiTheme="majorBidi" w:cstheme="majorBidi"/>
          <w:sz w:val="24"/>
          <w:szCs w:val="24"/>
        </w:rPr>
      </w:pPr>
      <w:r w:rsidRPr="00EA72CE">
        <w:rPr>
          <w:rFonts w:asciiTheme="majorBidi" w:hAnsiTheme="majorBidi" w:cstheme="majorBidi"/>
          <w:sz w:val="24"/>
          <w:szCs w:val="24"/>
        </w:rPr>
        <w:t>Garrib A, Griffiths W, Eldridge P, Hatton R, Worsley A, Crook M. Artefactually low glycated haemoglobin in a patient with severe hypertriglyceridaemia. Journal of clinical pathology. 2003;</w:t>
      </w:r>
      <w:r w:rsidR="00EA72CE">
        <w:rPr>
          <w:rFonts w:asciiTheme="majorBidi" w:hAnsiTheme="majorBidi" w:cstheme="majorBidi"/>
          <w:sz w:val="24"/>
          <w:szCs w:val="24"/>
        </w:rPr>
        <w:t xml:space="preserve"> </w:t>
      </w:r>
      <w:r w:rsidRPr="00EA72CE">
        <w:rPr>
          <w:rFonts w:asciiTheme="majorBidi" w:hAnsiTheme="majorBidi" w:cstheme="majorBidi"/>
          <w:sz w:val="24"/>
          <w:szCs w:val="24"/>
        </w:rPr>
        <w:t>56(5):</w:t>
      </w:r>
      <w:r w:rsidR="00EA72CE">
        <w:rPr>
          <w:rFonts w:asciiTheme="majorBidi" w:hAnsiTheme="majorBidi" w:cstheme="majorBidi"/>
          <w:sz w:val="24"/>
          <w:szCs w:val="24"/>
        </w:rPr>
        <w:t xml:space="preserve"> </w:t>
      </w:r>
      <w:r w:rsidRPr="00EA72CE">
        <w:rPr>
          <w:rFonts w:asciiTheme="majorBidi" w:hAnsiTheme="majorBidi" w:cstheme="majorBidi"/>
          <w:sz w:val="24"/>
          <w:szCs w:val="24"/>
        </w:rPr>
        <w:t>394-</w:t>
      </w:r>
      <w:r w:rsidR="00EA72CE">
        <w:rPr>
          <w:rFonts w:asciiTheme="majorBidi" w:hAnsiTheme="majorBidi" w:cstheme="majorBidi"/>
          <w:sz w:val="24"/>
          <w:szCs w:val="24"/>
        </w:rPr>
        <w:t>39</w:t>
      </w:r>
      <w:r w:rsidRPr="00EA72CE">
        <w:rPr>
          <w:rFonts w:asciiTheme="majorBidi" w:hAnsiTheme="majorBidi" w:cstheme="majorBidi"/>
          <w:sz w:val="24"/>
          <w:szCs w:val="24"/>
        </w:rPr>
        <w:t>5.</w:t>
      </w:r>
    </w:p>
    <w:p w14:paraId="5CDDF385" w14:textId="77777777" w:rsidR="005B061D" w:rsidRPr="00B567B4" w:rsidRDefault="005B061D" w:rsidP="00EA72CE">
      <w:pPr>
        <w:bidi w:val="0"/>
        <w:spacing w:after="0"/>
        <w:ind w:left="426" w:hanging="426"/>
        <w:jc w:val="both"/>
        <w:rPr>
          <w:rFonts w:asciiTheme="majorBidi" w:hAnsiTheme="majorBidi" w:cstheme="majorBidi"/>
          <w:sz w:val="24"/>
          <w:szCs w:val="24"/>
        </w:rPr>
      </w:pPr>
      <w:r w:rsidRPr="00B567B4">
        <w:rPr>
          <w:rFonts w:asciiTheme="majorBidi" w:hAnsiTheme="majorBidi" w:cstheme="majorBidi"/>
          <w:sz w:val="24"/>
          <w:szCs w:val="24"/>
        </w:rPr>
        <w:fldChar w:fldCharType="end"/>
      </w:r>
      <w:bookmarkEnd w:id="7"/>
      <w:r w:rsidRPr="00B567B4">
        <w:rPr>
          <w:rFonts w:asciiTheme="majorBidi" w:hAnsiTheme="majorBidi" w:cstheme="majorBidi"/>
          <w:sz w:val="24"/>
          <w:szCs w:val="24"/>
        </w:rPr>
        <w:fldChar w:fldCharType="begin"/>
      </w:r>
      <w:r w:rsidRPr="00B567B4">
        <w:rPr>
          <w:rFonts w:asciiTheme="majorBidi" w:hAnsiTheme="majorBidi" w:cstheme="majorBidi"/>
          <w:sz w:val="24"/>
          <w:szCs w:val="24"/>
        </w:rPr>
        <w:instrText xml:space="preserve"> ADDIN  EN.REFLIST </w:instrText>
      </w:r>
      <w:r w:rsidRPr="00B567B4">
        <w:rPr>
          <w:rFonts w:asciiTheme="majorBidi" w:hAnsiTheme="majorBidi" w:cstheme="majorBidi"/>
          <w:sz w:val="24"/>
          <w:szCs w:val="24"/>
        </w:rPr>
        <w:fldChar w:fldCharType="end"/>
      </w:r>
    </w:p>
    <w:p w14:paraId="49D41812" w14:textId="77777777" w:rsidR="005B061D" w:rsidRPr="00B567B4" w:rsidRDefault="005B061D" w:rsidP="00EA72CE">
      <w:pPr>
        <w:bidi w:val="0"/>
        <w:spacing w:after="0"/>
        <w:ind w:left="426" w:hanging="426"/>
        <w:jc w:val="both"/>
        <w:rPr>
          <w:rFonts w:asciiTheme="majorBidi" w:hAnsiTheme="majorBidi" w:cstheme="majorBidi"/>
          <w:sz w:val="24"/>
          <w:szCs w:val="24"/>
        </w:rPr>
      </w:pPr>
    </w:p>
    <w:p w14:paraId="68AC53D0" w14:textId="77777777" w:rsidR="005B061D" w:rsidRPr="00413F4E" w:rsidRDefault="005B061D" w:rsidP="00EA72CE">
      <w:pPr>
        <w:bidi w:val="0"/>
        <w:ind w:left="426" w:right="51" w:hanging="426"/>
        <w:jc w:val="both"/>
        <w:rPr>
          <w:rFonts w:asciiTheme="majorBidi" w:hAnsiTheme="majorBidi" w:cstheme="majorBidi"/>
          <w:sz w:val="24"/>
          <w:szCs w:val="24"/>
          <w:lang w:bidi="ar-IQ"/>
        </w:rPr>
      </w:pPr>
    </w:p>
    <w:p w14:paraId="36183445" w14:textId="77777777" w:rsidR="005B061D" w:rsidRPr="00413F4E" w:rsidRDefault="005B061D" w:rsidP="00EA72CE">
      <w:pPr>
        <w:spacing w:after="0"/>
        <w:ind w:left="426" w:right="51" w:hanging="426"/>
        <w:jc w:val="both"/>
        <w:rPr>
          <w:rFonts w:asciiTheme="majorBidi" w:hAnsiTheme="majorBidi" w:cstheme="majorBidi"/>
          <w:b/>
          <w:bCs/>
          <w:sz w:val="24"/>
          <w:szCs w:val="24"/>
          <w:u w:val="single"/>
          <w:rtl/>
          <w:lang w:bidi="ar-IQ"/>
        </w:rPr>
        <w:sectPr w:rsidR="005B061D" w:rsidRPr="00413F4E" w:rsidSect="00981DAB">
          <w:type w:val="continuous"/>
          <w:pgSz w:w="12242" w:h="15842" w:code="1"/>
          <w:pgMar w:top="1134" w:right="1134" w:bottom="1134" w:left="1134" w:header="1134" w:footer="567" w:gutter="0"/>
          <w:pgNumType w:start="166"/>
          <w:cols w:num="2" w:space="567"/>
          <w:docGrid w:linePitch="360"/>
        </w:sectPr>
      </w:pPr>
    </w:p>
    <w:p w14:paraId="323B4852"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1B0C9296"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234A0B84"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601F5515"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58DAA275"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056E1110"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63AF6621"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3C734CB"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307F90C8"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04DF647F"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06C3B5ED"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DD571A5"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40BC0FBE"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8F796D2"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414E5C20"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53583553"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4F97F890"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4E6BB425"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102CCA54"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3039ED4A"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2FAA661"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35F77102"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3E08C172"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0F123F34"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4E2501A5"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61AC996"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31A537A8"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183030F7" w14:textId="77777777" w:rsidR="0025798D" w:rsidRDefault="0025798D" w:rsidP="00EA72CE">
      <w:pPr>
        <w:tabs>
          <w:tab w:val="left" w:pos="5990"/>
        </w:tabs>
        <w:ind w:right="51"/>
        <w:jc w:val="both"/>
        <w:rPr>
          <w:rFonts w:ascii="Arial" w:hAnsi="Arial" w:cs="Arial"/>
          <w:color w:val="3E3E3E"/>
          <w:sz w:val="18"/>
          <w:szCs w:val="18"/>
          <w:shd w:val="clear" w:color="auto" w:fill="F5F5F5"/>
        </w:rPr>
      </w:pPr>
    </w:p>
    <w:p w14:paraId="752C6C13" w14:textId="77777777" w:rsidR="000B2C85" w:rsidRDefault="000B2C85" w:rsidP="000B2C85">
      <w:pPr>
        <w:tabs>
          <w:tab w:val="left" w:pos="5990"/>
        </w:tabs>
        <w:ind w:right="51"/>
        <w:rPr>
          <w:rFonts w:ascii="Arial" w:hAnsi="Arial" w:cs="Arial"/>
          <w:color w:val="3E3E3E"/>
          <w:sz w:val="18"/>
          <w:szCs w:val="18"/>
          <w:shd w:val="clear" w:color="auto" w:fill="F5F5F5"/>
          <w:rtl/>
        </w:rPr>
        <w:sectPr w:rsidR="000B2C85" w:rsidSect="00044E56">
          <w:footerReference w:type="first" r:id="rId19"/>
          <w:type w:val="continuous"/>
          <w:pgSz w:w="12242" w:h="15842" w:code="1"/>
          <w:pgMar w:top="1134" w:right="1134" w:bottom="1134" w:left="1134" w:header="1134" w:footer="567" w:gutter="0"/>
          <w:pgNumType w:start="1"/>
          <w:cols w:num="2" w:space="567"/>
          <w:docGrid w:linePitch="360"/>
        </w:sectPr>
      </w:pPr>
    </w:p>
    <w:p w14:paraId="7272A394" w14:textId="77777777" w:rsidR="00197E33" w:rsidRDefault="00197E33" w:rsidP="000B2C85">
      <w:pPr>
        <w:jc w:val="both"/>
        <w:rPr>
          <w:rFonts w:ascii="Arial" w:hAnsi="Arial" w:cs="Arial"/>
          <w:sz w:val="28"/>
          <w:szCs w:val="28"/>
        </w:rPr>
      </w:pPr>
    </w:p>
    <w:p w14:paraId="4A8A7538" w14:textId="77777777" w:rsidR="00197E33" w:rsidRDefault="00197E33" w:rsidP="000B2C85">
      <w:pPr>
        <w:jc w:val="both"/>
        <w:rPr>
          <w:rFonts w:ascii="Arial" w:hAnsi="Arial" w:cs="Arial"/>
          <w:sz w:val="28"/>
          <w:szCs w:val="28"/>
        </w:rPr>
      </w:pPr>
    </w:p>
    <w:p w14:paraId="5172E57B" w14:textId="3CBFB5D1" w:rsidR="0090291F" w:rsidRPr="0051100A" w:rsidRDefault="0090291F" w:rsidP="000B2C85">
      <w:pPr>
        <w:jc w:val="both"/>
        <w:rPr>
          <w:rFonts w:ascii="Arial" w:hAnsi="Arial" w:cs="Arial"/>
          <w:b/>
          <w:bCs/>
          <w:sz w:val="28"/>
          <w:szCs w:val="28"/>
        </w:rPr>
      </w:pPr>
      <w:r w:rsidRPr="0051100A">
        <w:rPr>
          <w:rFonts w:ascii="Arial" w:hAnsi="Arial" w:cs="Arial"/>
          <w:b/>
          <w:bCs/>
          <w:sz w:val="28"/>
          <w:szCs w:val="28"/>
          <w:rtl/>
        </w:rPr>
        <w:t>تأثیر إرتفاع الدهون الثلاثیة الشدید على اختبار الهیموغلوبین الغلیکوزیلاتی فی داء السکری النوع الثانی</w:t>
      </w:r>
    </w:p>
    <w:p w14:paraId="3FD41087" w14:textId="6667FAAC" w:rsidR="000B2C85" w:rsidRDefault="0090291F" w:rsidP="000B2C85">
      <w:pPr>
        <w:spacing w:after="0"/>
        <w:jc w:val="both"/>
        <w:rPr>
          <w:rFonts w:ascii="Arial" w:hAnsi="Arial" w:cs="Arial"/>
          <w:sz w:val="24"/>
          <w:szCs w:val="24"/>
        </w:rPr>
      </w:pPr>
      <w:r w:rsidRPr="000B2C85">
        <w:rPr>
          <w:rFonts w:ascii="Arial" w:hAnsi="Arial" w:cs="Arial"/>
          <w:b/>
          <w:bCs/>
          <w:i/>
          <w:iCs/>
          <w:sz w:val="24"/>
          <w:szCs w:val="24"/>
          <w:rtl/>
        </w:rPr>
        <w:t>المقدمة</w:t>
      </w:r>
      <w:r w:rsidRPr="000B2C85">
        <w:rPr>
          <w:rFonts w:ascii="Arial" w:hAnsi="Arial" w:cs="Arial"/>
          <w:b/>
          <w:bCs/>
          <w:i/>
          <w:iCs/>
          <w:sz w:val="24"/>
          <w:szCs w:val="24"/>
        </w:rPr>
        <w:t>:</w:t>
      </w:r>
      <w:r w:rsidR="000B2C85">
        <w:rPr>
          <w:rFonts w:ascii="Arial" w:hAnsi="Arial" w:cs="Arial"/>
          <w:sz w:val="24"/>
          <w:szCs w:val="24"/>
        </w:rPr>
        <w:t xml:space="preserve"> </w:t>
      </w:r>
      <w:r w:rsidRPr="000B2C85">
        <w:rPr>
          <w:rFonts w:ascii="Arial" w:hAnsi="Arial" w:cs="Arial"/>
          <w:sz w:val="24"/>
          <w:szCs w:val="24"/>
          <w:rtl/>
        </w:rPr>
        <w:t>على الرغم من أن اختبار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هو اختبار صالح لتشخیص مرض السکری وتقییم السیطرة على نسبة السکر فی الدم، فمن المعروف أن العدید من العوامل تؤثر على نتائج اختبار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وتجعله یعکس صورة خاطئة للتحکم فی نسبة السکر فی الدم. أحد هذه العوامل هو ارتفاع الدهون الثلاثیة فی الدم</w:t>
      </w:r>
      <w:r w:rsidRPr="000B2C85">
        <w:rPr>
          <w:rFonts w:ascii="Arial" w:hAnsi="Arial" w:cs="Arial"/>
          <w:sz w:val="24"/>
          <w:szCs w:val="24"/>
        </w:rPr>
        <w:t>.</w:t>
      </w:r>
      <w:r w:rsidRPr="000B2C85">
        <w:rPr>
          <w:rFonts w:ascii="Arial" w:hAnsi="Arial" w:cs="Arial"/>
          <w:sz w:val="24"/>
          <w:szCs w:val="24"/>
        </w:rPr>
        <w:br/>
      </w:r>
      <w:r w:rsidRPr="000B2C85">
        <w:rPr>
          <w:rFonts w:ascii="Arial" w:hAnsi="Arial" w:cs="Arial"/>
          <w:b/>
          <w:bCs/>
          <w:i/>
          <w:iCs/>
          <w:sz w:val="24"/>
          <w:szCs w:val="24"/>
          <w:rtl/>
        </w:rPr>
        <w:t>الغرض من الدراسة</w:t>
      </w:r>
      <w:r w:rsidR="000B2C85">
        <w:rPr>
          <w:rFonts w:ascii="Arial" w:hAnsi="Arial" w:cs="Arial"/>
          <w:b/>
          <w:bCs/>
          <w:i/>
          <w:iCs/>
          <w:sz w:val="24"/>
          <w:szCs w:val="24"/>
        </w:rPr>
        <w:t xml:space="preserve"> </w:t>
      </w:r>
      <w:r w:rsidRPr="000B2C85">
        <w:rPr>
          <w:rFonts w:ascii="Arial" w:hAnsi="Arial" w:cs="Arial"/>
          <w:b/>
          <w:bCs/>
          <w:i/>
          <w:iCs/>
          <w:sz w:val="24"/>
          <w:szCs w:val="24"/>
        </w:rPr>
        <w:t>:</w:t>
      </w:r>
      <w:r w:rsidRPr="000B2C85">
        <w:rPr>
          <w:rFonts w:ascii="Arial" w:hAnsi="Arial" w:cs="Arial"/>
          <w:sz w:val="24"/>
          <w:szCs w:val="24"/>
          <w:rtl/>
        </w:rPr>
        <w:t>تقییم تأثیر إرتفاع الدهون الثلاثیة فی الدم الشدید (الدهون الثلاثیة ≥ 1000 مغ/دیسیلتر) على نتائج اختبار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فی مرضى السکری (النوع الثانی)</w:t>
      </w:r>
      <w:r w:rsidRPr="000B2C85">
        <w:rPr>
          <w:rFonts w:ascii="Arial" w:hAnsi="Arial" w:cs="Arial"/>
          <w:sz w:val="24"/>
          <w:szCs w:val="24"/>
        </w:rPr>
        <w:t>.</w:t>
      </w:r>
    </w:p>
    <w:p w14:paraId="19A63BD5" w14:textId="4D987F23" w:rsidR="000B2C85" w:rsidRDefault="0090291F" w:rsidP="000B2C85">
      <w:pPr>
        <w:spacing w:after="0"/>
        <w:jc w:val="both"/>
        <w:rPr>
          <w:rFonts w:ascii="Arial" w:hAnsi="Arial" w:cs="Arial"/>
          <w:sz w:val="24"/>
          <w:szCs w:val="24"/>
          <w:rtl/>
          <w:lang w:bidi="ar-IQ"/>
        </w:rPr>
      </w:pPr>
      <w:r w:rsidRPr="000B2C85">
        <w:rPr>
          <w:rFonts w:ascii="Arial" w:hAnsi="Arial" w:cs="Arial"/>
          <w:b/>
          <w:bCs/>
          <w:i/>
          <w:iCs/>
          <w:sz w:val="24"/>
          <w:szCs w:val="24"/>
          <w:rtl/>
        </w:rPr>
        <w:t>المرضى والاسالیب</w:t>
      </w:r>
      <w:r w:rsidR="000B2C85" w:rsidRPr="000B2C85">
        <w:rPr>
          <w:rFonts w:ascii="Arial" w:hAnsi="Arial" w:cs="Arial"/>
          <w:b/>
          <w:bCs/>
          <w:i/>
          <w:iCs/>
          <w:sz w:val="24"/>
          <w:szCs w:val="24"/>
        </w:rPr>
        <w:t>:</w:t>
      </w:r>
      <w:r w:rsidR="000B2C85">
        <w:rPr>
          <w:rFonts w:ascii="Arial" w:hAnsi="Arial" w:cs="Arial"/>
          <w:sz w:val="24"/>
          <w:szCs w:val="24"/>
        </w:rPr>
        <w:t xml:space="preserve">  </w:t>
      </w:r>
      <w:r w:rsidRPr="000B2C85">
        <w:rPr>
          <w:rFonts w:ascii="Arial" w:hAnsi="Arial" w:cs="Arial"/>
          <w:sz w:val="24"/>
          <w:szCs w:val="24"/>
          <w:rtl/>
        </w:rPr>
        <w:t>دراسة مقطعیة إسترجاعیة على مجموعتین من المرضى البالغین المصابین بالسکری (النوع الثانی)، تم ادراج المرضى الذین لدیهم مستوى طبیعی من الدهون الثلاثیة (الدهون الثلاثیة</w:t>
      </w:r>
      <w:r w:rsidRPr="000B2C85">
        <w:rPr>
          <w:rFonts w:ascii="Arial" w:hAnsi="Arial" w:cs="Arial"/>
          <w:sz w:val="24"/>
          <w:szCs w:val="24"/>
        </w:rPr>
        <w:t xml:space="preserve">&gt; 150 </w:t>
      </w:r>
      <w:r w:rsidRPr="000B2C85">
        <w:rPr>
          <w:rFonts w:ascii="Arial" w:hAnsi="Arial" w:cs="Arial"/>
          <w:sz w:val="24"/>
          <w:szCs w:val="24"/>
          <w:rtl/>
        </w:rPr>
        <w:t>مغ/ دیسیلتر) وأولئک الذین یعانون من ارتفاع شدید للدهون الثلاثیة فی الدم (الدهون الثلاثیة ≥ 1000 مغ / دیسیلتر) فی مرکز الفیحاء التخصصی للسکری والغدد الصم والایض فی البصرة-العراق. تم جمع 267 مریضا یعانون من السکری (النوع الثانی) وارتفاع الدهون الثلاثیة فی الدم الشدید و313 مریضا یعانون من السکری (النوع الثانی) مع مستوى دهون ثلاثیة طبیعی. تم تقسیم کلا المجموعتین من المرضى إلى مجموعات فرعیة کل مجموعة مع مدى محدد من مستوى سکر الدم الصائم</w:t>
      </w:r>
      <w:r w:rsidRPr="000B2C85">
        <w:rPr>
          <w:rFonts w:ascii="Arial" w:hAnsi="Arial" w:cs="Arial"/>
          <w:sz w:val="24"/>
          <w:szCs w:val="24"/>
        </w:rPr>
        <w:t xml:space="preserve"> (FBS). </w:t>
      </w:r>
      <w:r w:rsidRPr="000B2C85">
        <w:rPr>
          <w:rFonts w:ascii="Arial" w:hAnsi="Arial" w:cs="Arial"/>
          <w:sz w:val="24"/>
          <w:szCs w:val="24"/>
          <w:rtl/>
        </w:rPr>
        <w:t>ثم تم قیاس متوسط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للمرضى الذین یعانون من ارتفاع شدید للدهون الثلاثیة فی الدم لکل مدى من مستوى سکر الدم الصائم</w:t>
      </w:r>
      <w:r w:rsidRPr="000B2C85">
        <w:rPr>
          <w:rFonts w:ascii="Arial" w:hAnsi="Arial" w:cs="Arial"/>
          <w:sz w:val="24"/>
          <w:szCs w:val="24"/>
        </w:rPr>
        <w:t>(FBS)</w:t>
      </w:r>
      <w:r w:rsidRPr="000B2C85">
        <w:rPr>
          <w:rFonts w:ascii="Arial" w:hAnsi="Arial" w:cs="Arial"/>
          <w:sz w:val="24"/>
          <w:szCs w:val="24"/>
          <w:rtl/>
        </w:rPr>
        <w:t>، ومقارنته بمتوسط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للمرضى الذین لدیهم مستوى دهون ثلاثیة طبیعی فی نفس المدى من مستوى سکر الدم الصائم</w:t>
      </w:r>
      <w:r w:rsidRPr="000B2C85">
        <w:rPr>
          <w:rFonts w:ascii="Arial" w:hAnsi="Arial" w:cs="Arial"/>
          <w:sz w:val="24"/>
          <w:szCs w:val="24"/>
        </w:rPr>
        <w:t xml:space="preserve"> (FBS) </w:t>
      </w:r>
      <w:r w:rsidRPr="000B2C85">
        <w:rPr>
          <w:rFonts w:ascii="Arial" w:hAnsi="Arial" w:cs="Arial"/>
          <w:sz w:val="24"/>
          <w:szCs w:val="24"/>
          <w:rtl/>
        </w:rPr>
        <w:t>لتحدید تأثیر ارتفاع الدهون الثلاثیة الشدید فی الدم على قراءات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فی مرضى السکری (النوع الثان</w:t>
      </w:r>
      <w:r w:rsidR="000B2C85">
        <w:rPr>
          <w:rFonts w:ascii="Arial" w:hAnsi="Arial" w:cs="Arial" w:hint="cs"/>
          <w:sz w:val="24"/>
          <w:szCs w:val="24"/>
          <w:rtl/>
        </w:rPr>
        <w:t>ي</w:t>
      </w:r>
      <w:r w:rsidR="000B2C85">
        <w:rPr>
          <w:rFonts w:ascii="Arial" w:hAnsi="Arial" w:cs="Arial" w:hint="cs"/>
          <w:sz w:val="24"/>
          <w:szCs w:val="24"/>
          <w:rtl/>
          <w:lang w:bidi="ar-IQ"/>
        </w:rPr>
        <w:t>)</w:t>
      </w:r>
    </w:p>
    <w:p w14:paraId="37BD3FDF" w14:textId="77777777" w:rsidR="00FD787D" w:rsidRDefault="0090291F" w:rsidP="00FD787D">
      <w:pPr>
        <w:spacing w:after="0"/>
        <w:jc w:val="both"/>
        <w:rPr>
          <w:rFonts w:ascii="Arial" w:hAnsi="Arial" w:cs="Arial"/>
          <w:sz w:val="24"/>
          <w:szCs w:val="24"/>
          <w:rtl/>
        </w:rPr>
      </w:pPr>
      <w:r w:rsidRPr="000B2C85">
        <w:rPr>
          <w:rFonts w:ascii="Arial" w:hAnsi="Arial" w:cs="Arial"/>
          <w:b/>
          <w:bCs/>
          <w:i/>
          <w:iCs/>
          <w:sz w:val="24"/>
          <w:szCs w:val="24"/>
          <w:rtl/>
        </w:rPr>
        <w:t>النتائج</w:t>
      </w:r>
      <w:r w:rsidRPr="000B2C85">
        <w:rPr>
          <w:rFonts w:ascii="Arial" w:hAnsi="Arial" w:cs="Arial"/>
          <w:b/>
          <w:bCs/>
          <w:i/>
          <w:iCs/>
          <w:sz w:val="24"/>
          <w:szCs w:val="24"/>
        </w:rPr>
        <w:t>:</w:t>
      </w:r>
      <w:r w:rsidR="000B2C85">
        <w:rPr>
          <w:rFonts w:ascii="Arial" w:hAnsi="Arial" w:cs="Arial" w:hint="cs"/>
          <w:sz w:val="24"/>
          <w:szCs w:val="24"/>
          <w:rtl/>
        </w:rPr>
        <w:t xml:space="preserve"> </w:t>
      </w:r>
      <w:r w:rsidRPr="000B2C85">
        <w:rPr>
          <w:rFonts w:ascii="Arial" w:hAnsi="Arial" w:cs="Arial"/>
          <w:sz w:val="24"/>
          <w:szCs w:val="24"/>
          <w:rtl/>
        </w:rPr>
        <w:t>تمت مقارنة متوسط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فی کلتا المجموعتین (أولئک الذین لدیهم مستوى دهون ثلاثیة طبیعی وأولئک الذین یعانون من ارتفاع شدید فی الدهون الثلاثیة) فی کل مدى من مستوى سکر الدم الصائم</w:t>
      </w:r>
      <w:r w:rsidRPr="000B2C85">
        <w:rPr>
          <w:rFonts w:ascii="Arial" w:hAnsi="Arial" w:cs="Arial"/>
          <w:sz w:val="24"/>
          <w:szCs w:val="24"/>
        </w:rPr>
        <w:t xml:space="preserve"> (FBS). </w:t>
      </w:r>
      <w:r w:rsidRPr="000B2C85">
        <w:rPr>
          <w:rFonts w:ascii="Arial" w:hAnsi="Arial" w:cs="Arial"/>
          <w:sz w:val="24"/>
          <w:szCs w:val="24"/>
          <w:rtl/>
        </w:rPr>
        <w:t>وکشف أنه على الرغم من نفس متوسط سکر الدم الصائم</w:t>
      </w:r>
      <w:r w:rsidRPr="000B2C85">
        <w:rPr>
          <w:rFonts w:ascii="Arial" w:hAnsi="Arial" w:cs="Arial"/>
          <w:sz w:val="24"/>
          <w:szCs w:val="24"/>
        </w:rPr>
        <w:t xml:space="preserve"> (FBS) </w:t>
      </w:r>
      <w:r w:rsidRPr="000B2C85">
        <w:rPr>
          <w:rFonts w:ascii="Arial" w:hAnsi="Arial" w:cs="Arial"/>
          <w:sz w:val="24"/>
          <w:szCs w:val="24"/>
          <w:rtl/>
        </w:rPr>
        <w:t>تقریبًا ، کان الهیموغلوبین الغلیکوزیلاتی</w:t>
      </w:r>
      <w:r w:rsidRPr="000B2C85">
        <w:rPr>
          <w:rFonts w:ascii="Arial" w:hAnsi="Arial" w:cs="Arial"/>
          <w:sz w:val="24"/>
          <w:szCs w:val="24"/>
        </w:rPr>
        <w:t xml:space="preserve"> ( (HbA1c </w:t>
      </w:r>
      <w:r w:rsidRPr="000B2C85">
        <w:rPr>
          <w:rFonts w:ascii="Arial" w:hAnsi="Arial" w:cs="Arial"/>
          <w:sz w:val="24"/>
          <w:szCs w:val="24"/>
          <w:rtl/>
        </w:rPr>
        <w:t>أعلى فی المرضى الذین لدیهم ارتفاع شدید فی الدهون الثلاثیة بنسبة 1.33٪ فی مدى سکر الدم الصائم 130-149 مغ/دیسیلتر مع قیمة</w:t>
      </w:r>
      <w:r w:rsidRPr="000B2C85">
        <w:rPr>
          <w:rFonts w:ascii="Arial" w:hAnsi="Arial" w:cs="Arial"/>
          <w:sz w:val="24"/>
          <w:szCs w:val="24"/>
        </w:rPr>
        <w:t xml:space="preserve"> P </w:t>
      </w:r>
      <w:r w:rsidRPr="000B2C85">
        <w:rPr>
          <w:rFonts w:ascii="Arial" w:hAnsi="Arial" w:cs="Arial"/>
          <w:sz w:val="24"/>
          <w:szCs w:val="24"/>
          <w:rtl/>
        </w:rPr>
        <w:t>ذات أهمیة إحصائیة = 0.003 ، بینما کانت أقل فی مدى سکر الدم الصائم 200-229 مغ/دیسیلتر، 230-259 مغ/دیسیلتر، 260-299 مغ/دیسیلتر، 300-349 مغ/دیسیلتر و 350-399 مغ/ دیسیلتر بمقدار 1.02٪، 0.85٪، 1.77٪، 2.29٪ و 2.23٪ على التوالی مع قیمة</w:t>
      </w:r>
      <w:r w:rsidRPr="000B2C85">
        <w:rPr>
          <w:rFonts w:ascii="Arial" w:hAnsi="Arial" w:cs="Arial"/>
          <w:sz w:val="24"/>
          <w:szCs w:val="24"/>
        </w:rPr>
        <w:t xml:space="preserve"> P </w:t>
      </w:r>
      <w:r w:rsidRPr="000B2C85">
        <w:rPr>
          <w:rFonts w:ascii="Arial" w:hAnsi="Arial" w:cs="Arial"/>
          <w:sz w:val="24"/>
          <w:szCs w:val="24"/>
          <w:rtl/>
        </w:rPr>
        <w:t>ذات أهمیة إحصائیة تساوی 0.005، 0.034، 0.001</w:t>
      </w:r>
      <w:r w:rsidRPr="000B2C85">
        <w:rPr>
          <w:rFonts w:ascii="Arial" w:hAnsi="Arial" w:cs="Arial"/>
          <w:sz w:val="24"/>
          <w:szCs w:val="24"/>
        </w:rPr>
        <w:t>&gt;</w:t>
      </w:r>
      <w:r w:rsidRPr="000B2C85">
        <w:rPr>
          <w:rFonts w:ascii="Arial" w:hAnsi="Arial" w:cs="Arial"/>
          <w:sz w:val="24"/>
          <w:szCs w:val="24"/>
          <w:rtl/>
        </w:rPr>
        <w:t>، 0.001</w:t>
      </w:r>
      <w:r w:rsidRPr="000B2C85">
        <w:rPr>
          <w:rFonts w:ascii="Arial" w:hAnsi="Arial" w:cs="Arial"/>
          <w:sz w:val="24"/>
          <w:szCs w:val="24"/>
        </w:rPr>
        <w:t xml:space="preserve">&gt; </w:t>
      </w:r>
      <w:r w:rsidRPr="000B2C85">
        <w:rPr>
          <w:rFonts w:ascii="Arial" w:hAnsi="Arial" w:cs="Arial"/>
          <w:sz w:val="24"/>
          <w:szCs w:val="24"/>
          <w:rtl/>
        </w:rPr>
        <w:t>و 0.039 على التوالی. لم یکن هناک فرق معتد به إحصائیاً بین متوسط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لکلا المجموعتین فی مدى سکر الدم الصائم 72-129 مغ/دیسیلتر، 150-169 مغ/ دیسیلتر و170-199 مغ/ دیسیلتر</w:t>
      </w:r>
      <w:r w:rsidRPr="000B2C85">
        <w:rPr>
          <w:rFonts w:ascii="Arial" w:hAnsi="Arial" w:cs="Arial"/>
          <w:sz w:val="24"/>
          <w:szCs w:val="24"/>
        </w:rPr>
        <w:t>.</w:t>
      </w:r>
      <w:r w:rsidR="00FD787D">
        <w:rPr>
          <w:rFonts w:ascii="Arial" w:hAnsi="Arial" w:cs="Arial" w:hint="cs"/>
          <w:sz w:val="24"/>
          <w:szCs w:val="24"/>
          <w:rtl/>
        </w:rPr>
        <w:t xml:space="preserve"> </w:t>
      </w:r>
      <w:r w:rsidRPr="000B2C85">
        <w:rPr>
          <w:rFonts w:ascii="Arial" w:hAnsi="Arial" w:cs="Arial"/>
          <w:sz w:val="24"/>
          <w:szCs w:val="24"/>
          <w:rtl/>
        </w:rPr>
        <w:t>بالإضافة الى ذل</w:t>
      </w:r>
      <w:r w:rsidR="00FD787D">
        <w:rPr>
          <w:rFonts w:ascii="Arial" w:hAnsi="Arial" w:cs="Arial" w:hint="cs"/>
          <w:sz w:val="24"/>
          <w:szCs w:val="24"/>
          <w:rtl/>
        </w:rPr>
        <w:t>ك</w:t>
      </w:r>
      <w:r w:rsidRPr="000B2C85">
        <w:rPr>
          <w:rFonts w:ascii="Arial" w:hAnsi="Arial" w:cs="Arial"/>
          <w:sz w:val="24"/>
          <w:szCs w:val="24"/>
          <w:rtl/>
        </w:rPr>
        <w:t>، فإن الانحراف المعیاری للهیموغلوبین الغلیکوزیلاتی</w:t>
      </w:r>
      <w:r w:rsidRPr="000B2C85">
        <w:rPr>
          <w:rFonts w:ascii="Arial" w:hAnsi="Arial" w:cs="Arial"/>
          <w:sz w:val="24"/>
          <w:szCs w:val="24"/>
        </w:rPr>
        <w:t xml:space="preserve"> (HbA1c)</w:t>
      </w:r>
      <w:r w:rsidRPr="000B2C85">
        <w:rPr>
          <w:rFonts w:ascii="Arial" w:hAnsi="Arial" w:cs="Arial"/>
          <w:sz w:val="24"/>
          <w:szCs w:val="24"/>
          <w:rtl/>
        </w:rPr>
        <w:t>فی مجموعة ارتفاع الدهون الثلاثیة الشدید کان بصورة عامة أعلى من الانحراف المعیاری للهیموغلوبین الغلیکوزیلاتی</w:t>
      </w:r>
      <w:r w:rsidRPr="000B2C85">
        <w:rPr>
          <w:rFonts w:ascii="Arial" w:hAnsi="Arial" w:cs="Arial"/>
          <w:sz w:val="24"/>
          <w:szCs w:val="24"/>
        </w:rPr>
        <w:t xml:space="preserve"> (HbA1c)</w:t>
      </w:r>
      <w:r w:rsidRPr="000B2C85">
        <w:rPr>
          <w:rFonts w:ascii="Arial" w:hAnsi="Arial" w:cs="Arial"/>
          <w:sz w:val="24"/>
          <w:szCs w:val="24"/>
          <w:rtl/>
        </w:rPr>
        <w:t>فی مجموعة مستوى الدهون الثلاثیة الطبیعی مما یشیر إلى أن البیانات منتشرة بشکل أکبر مع تباین أعلى فی مستوى الهیموغلوبین الغلیکوزیلاتی</w:t>
      </w:r>
      <w:r w:rsidRPr="000B2C85">
        <w:rPr>
          <w:rFonts w:ascii="Arial" w:hAnsi="Arial" w:cs="Arial"/>
          <w:sz w:val="24"/>
          <w:szCs w:val="24"/>
        </w:rPr>
        <w:t xml:space="preserve"> (HbA1c)</w:t>
      </w:r>
      <w:r w:rsidRPr="000B2C85">
        <w:rPr>
          <w:rFonts w:ascii="Arial" w:hAnsi="Arial" w:cs="Arial"/>
          <w:sz w:val="24"/>
          <w:szCs w:val="24"/>
          <w:rtl/>
        </w:rPr>
        <w:t>فی مجموعة ارتفاع الدهون الثلاثیة الشدید</w:t>
      </w:r>
    </w:p>
    <w:p w14:paraId="75067751" w14:textId="0D48BF7F" w:rsidR="00AE2297" w:rsidRDefault="0090291F" w:rsidP="00FD787D">
      <w:pPr>
        <w:spacing w:after="0"/>
        <w:jc w:val="both"/>
        <w:rPr>
          <w:rFonts w:ascii="Arial" w:hAnsi="Arial" w:cs="Arial"/>
          <w:sz w:val="24"/>
          <w:szCs w:val="24"/>
          <w:rtl/>
        </w:rPr>
      </w:pPr>
      <w:r w:rsidRPr="00FD787D">
        <w:rPr>
          <w:rFonts w:ascii="Arial" w:hAnsi="Arial" w:cs="Arial"/>
          <w:b/>
          <w:bCs/>
          <w:i/>
          <w:iCs/>
          <w:sz w:val="24"/>
          <w:szCs w:val="24"/>
          <w:rtl/>
        </w:rPr>
        <w:t>الاستنتاج</w:t>
      </w:r>
      <w:r w:rsidRPr="00FD787D">
        <w:rPr>
          <w:rFonts w:ascii="Arial" w:hAnsi="Arial" w:cs="Arial"/>
          <w:b/>
          <w:bCs/>
          <w:i/>
          <w:iCs/>
          <w:sz w:val="24"/>
          <w:szCs w:val="24"/>
        </w:rPr>
        <w:t>:</w:t>
      </w:r>
      <w:r w:rsidR="00FD787D" w:rsidRPr="00FD787D">
        <w:rPr>
          <w:rFonts w:ascii="Arial" w:hAnsi="Arial" w:cs="Arial" w:hint="cs"/>
          <w:b/>
          <w:bCs/>
          <w:i/>
          <w:iCs/>
          <w:sz w:val="24"/>
          <w:szCs w:val="24"/>
          <w:rtl/>
        </w:rPr>
        <w:t xml:space="preserve"> </w:t>
      </w:r>
      <w:r w:rsidRPr="000B2C85">
        <w:rPr>
          <w:rFonts w:ascii="Arial" w:hAnsi="Arial" w:cs="Arial"/>
          <w:sz w:val="24"/>
          <w:szCs w:val="24"/>
          <w:rtl/>
        </w:rPr>
        <w:t>کشفت هذه الدراسة أن ارتفاع الدهون الثلاثیة الشدید لدیه تأثیر هام على نتائج اختبار الهیموغلوبین الغلیکوزیلاتی</w:t>
      </w:r>
      <w:r w:rsidRPr="000B2C85">
        <w:rPr>
          <w:rFonts w:ascii="Arial" w:hAnsi="Arial" w:cs="Arial"/>
          <w:sz w:val="24"/>
          <w:szCs w:val="24"/>
        </w:rPr>
        <w:t xml:space="preserve"> (HbA1c). </w:t>
      </w:r>
      <w:r w:rsidRPr="000B2C85">
        <w:rPr>
          <w:rFonts w:ascii="Arial" w:hAnsi="Arial" w:cs="Arial"/>
          <w:sz w:val="24"/>
          <w:szCs w:val="24"/>
          <w:rtl/>
        </w:rPr>
        <w:t>إن قیمة الهیموغلوبین الغلیکوزیلاتی</w:t>
      </w:r>
      <w:r w:rsidR="0025798D" w:rsidRPr="000B2C85">
        <w:rPr>
          <w:rFonts w:ascii="Arial" w:hAnsi="Arial" w:cs="Arial"/>
          <w:sz w:val="24"/>
          <w:szCs w:val="24"/>
        </w:rPr>
        <w:t xml:space="preserve">  </w:t>
      </w:r>
      <w:r w:rsidRPr="000B2C85">
        <w:rPr>
          <w:rFonts w:ascii="Arial" w:hAnsi="Arial" w:cs="Arial"/>
          <w:sz w:val="24"/>
          <w:szCs w:val="24"/>
        </w:rPr>
        <w:t xml:space="preserve">(HbA1c) </w:t>
      </w:r>
      <w:r w:rsidRPr="000B2C85">
        <w:rPr>
          <w:rFonts w:ascii="Arial" w:hAnsi="Arial" w:cs="Arial"/>
          <w:sz w:val="24"/>
          <w:szCs w:val="24"/>
          <w:rtl/>
        </w:rPr>
        <w:t>فی مرضى السکری (النوع الثانی) المصابین بارتفاع الدهون الثلاثیة الشدید لا یمکن التنبؤ بها. قد تکون مساویة أو أعلى أو أقل من القیمة الحقیقیة</w:t>
      </w:r>
      <w:r w:rsidRPr="000B2C85">
        <w:rPr>
          <w:rFonts w:ascii="Arial" w:hAnsi="Arial" w:cs="Arial"/>
          <w:sz w:val="24"/>
          <w:szCs w:val="24"/>
        </w:rPr>
        <w:t>.</w:t>
      </w:r>
    </w:p>
    <w:p w14:paraId="3AE7238F" w14:textId="22A0E211" w:rsidR="00FD787D" w:rsidRPr="000B2C85" w:rsidRDefault="00FD787D" w:rsidP="00FD787D">
      <w:pPr>
        <w:spacing w:after="0"/>
        <w:jc w:val="both"/>
        <w:rPr>
          <w:rFonts w:ascii="Arial" w:hAnsi="Arial" w:cs="Arial"/>
          <w:sz w:val="24"/>
          <w:szCs w:val="24"/>
        </w:rPr>
      </w:pPr>
      <w:r w:rsidRPr="00042AA2">
        <w:rPr>
          <w:rFonts w:ascii="Arial" w:hAnsi="Arial" w:cs="Arial" w:hint="cs"/>
          <w:b/>
          <w:bCs/>
          <w:i/>
          <w:iCs/>
          <w:sz w:val="24"/>
          <w:szCs w:val="24"/>
          <w:rtl/>
        </w:rPr>
        <w:t>الكلمات المفتاحية:</w:t>
      </w:r>
      <w:r w:rsidRPr="00FD787D">
        <w:rPr>
          <w:rtl/>
        </w:rPr>
        <w:t xml:space="preserve"> </w:t>
      </w:r>
      <w:r w:rsidRPr="00FD787D">
        <w:rPr>
          <w:rFonts w:ascii="Arial" w:hAnsi="Arial" w:cs="Arial"/>
          <w:sz w:val="24"/>
          <w:szCs w:val="24"/>
          <w:rtl/>
        </w:rPr>
        <w:t xml:space="preserve">اختبار </w:t>
      </w:r>
      <w:r w:rsidRPr="00FD787D">
        <w:rPr>
          <w:rFonts w:ascii="Arial" w:hAnsi="Arial" w:cs="Arial"/>
          <w:sz w:val="24"/>
          <w:szCs w:val="24"/>
        </w:rPr>
        <w:t>HbA1c</w:t>
      </w:r>
      <w:r w:rsidRPr="00FD787D">
        <w:rPr>
          <w:rFonts w:ascii="Arial" w:hAnsi="Arial" w:cs="Arial"/>
          <w:sz w:val="24"/>
          <w:szCs w:val="24"/>
          <w:rtl/>
        </w:rPr>
        <w:t xml:space="preserve">، النوع 2 </w:t>
      </w:r>
      <w:r w:rsidRPr="00FD787D">
        <w:rPr>
          <w:rFonts w:ascii="Arial" w:hAnsi="Arial" w:cs="Arial"/>
          <w:sz w:val="24"/>
          <w:szCs w:val="24"/>
        </w:rPr>
        <w:t>DM</w:t>
      </w:r>
      <w:r w:rsidRPr="00FD787D">
        <w:rPr>
          <w:rFonts w:ascii="Arial" w:hAnsi="Arial" w:cs="Arial"/>
          <w:sz w:val="24"/>
          <w:szCs w:val="24"/>
          <w:rtl/>
        </w:rPr>
        <w:t>، ارتفاع شحوم الدم الشديد</w:t>
      </w:r>
      <w:bookmarkEnd w:id="8"/>
    </w:p>
    <w:sectPr w:rsidR="00FD787D" w:rsidRPr="000B2C85" w:rsidSect="00981DAB">
      <w:type w:val="continuous"/>
      <w:pgSz w:w="12242" w:h="15842" w:code="1"/>
      <w:pgMar w:top="1134" w:right="1134" w:bottom="1134" w:left="1134" w:header="1134" w:footer="567" w:gutter="0"/>
      <w:pgNumType w:start="17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B047" w14:textId="77777777" w:rsidR="002447F2" w:rsidRDefault="002447F2">
      <w:pPr>
        <w:spacing w:line="240" w:lineRule="auto"/>
      </w:pPr>
      <w:r>
        <w:separator/>
      </w:r>
    </w:p>
  </w:endnote>
  <w:endnote w:type="continuationSeparator" w:id="0">
    <w:p w14:paraId="446FB9CD" w14:textId="77777777" w:rsidR="002447F2" w:rsidRDefault="00244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612920"/>
      <w:docPartObj>
        <w:docPartGallery w:val="Page Numbers (Bottom of Page)"/>
        <w:docPartUnique/>
      </w:docPartObj>
    </w:sdtPr>
    <w:sdtEndPr>
      <w:rPr>
        <w:noProof/>
      </w:rPr>
    </w:sdtEndPr>
    <w:sdtContent>
      <w:p w14:paraId="5ABE29EA" w14:textId="77777777" w:rsidR="00E817DE" w:rsidRDefault="00E817DE" w:rsidP="00E817DE">
        <w:pPr>
          <w:pStyle w:val="Footer"/>
          <w:bidi w:val="0"/>
          <w:jc w:val="both"/>
        </w:pPr>
      </w:p>
      <w:p w14:paraId="6174372E" w14:textId="36C4A8C4" w:rsidR="00044E56" w:rsidRPr="00E817DE" w:rsidRDefault="002447F2" w:rsidP="00E817DE">
        <w:pPr>
          <w:pStyle w:val="Footer"/>
          <w:bidi w:val="0"/>
          <w:jc w:val="both"/>
        </w:pPr>
        <w:hyperlink r:id="rId1" w:history="1">
          <w:r w:rsidR="00E817DE" w:rsidRPr="00042AA2">
            <w:rPr>
              <w:rStyle w:val="Hyperlink"/>
              <w:rFonts w:ascii="Arial" w:eastAsia="Times New Roman" w:hAnsi="Arial" w:cs="Arial"/>
              <w:b/>
              <w:bCs/>
              <w:sz w:val="18"/>
              <w:szCs w:val="18"/>
              <w:u w:val="none"/>
            </w:rPr>
            <w:t>http://dx.doi.org/10.33762/mjbu.2023.134409.1118</w:t>
          </w:r>
        </w:hyperlink>
        <w:r w:rsidR="00E817DE" w:rsidRPr="00042AA2">
          <w:rPr>
            <w:rFonts w:ascii="Arial" w:eastAsia="Times New Roman" w:hAnsi="Arial" w:cs="Arial"/>
            <w:b/>
            <w:bCs/>
            <w:sz w:val="18"/>
            <w:szCs w:val="18"/>
          </w:rPr>
          <w:t xml:space="preserve">                                                                                                           </w:t>
        </w:r>
        <w:r w:rsidR="005E34B1" w:rsidRPr="00042AA2">
          <w:rPr>
            <w:b/>
            <w:bCs/>
          </w:rPr>
          <w:fldChar w:fldCharType="begin"/>
        </w:r>
        <w:r w:rsidR="005E34B1" w:rsidRPr="00042AA2">
          <w:rPr>
            <w:b/>
            <w:bCs/>
          </w:rPr>
          <w:instrText xml:space="preserve"> PAGE   \* MERGEFORMAT </w:instrText>
        </w:r>
        <w:r w:rsidR="005E34B1" w:rsidRPr="00042AA2">
          <w:rPr>
            <w:b/>
            <w:bCs/>
          </w:rPr>
          <w:fldChar w:fldCharType="separate"/>
        </w:r>
        <w:r w:rsidR="005E34B1" w:rsidRPr="00042AA2">
          <w:rPr>
            <w:b/>
            <w:bCs/>
            <w:noProof/>
          </w:rPr>
          <w:t>2</w:t>
        </w:r>
        <w:r w:rsidR="005E34B1" w:rsidRPr="00042AA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tl/>
      </w:rPr>
      <w:id w:val="1442656223"/>
      <w:docPartObj>
        <w:docPartGallery w:val="Page Numbers (Bottom of Page)"/>
        <w:docPartUnique/>
      </w:docPartObj>
    </w:sdtPr>
    <w:sdtEndPr>
      <w:rPr>
        <w:noProof/>
      </w:rPr>
    </w:sdtEndPr>
    <w:sdtContent>
      <w:p w14:paraId="7E2A30AA" w14:textId="30B1AB23" w:rsidR="005E34B1" w:rsidRPr="0001129B" w:rsidRDefault="005E34B1">
        <w:pPr>
          <w:pStyle w:val="Footer"/>
          <w:rPr>
            <w:b/>
            <w:bCs/>
          </w:rPr>
        </w:pPr>
        <w:r w:rsidRPr="0001129B">
          <w:rPr>
            <w:b/>
            <w:bCs/>
          </w:rPr>
          <w:fldChar w:fldCharType="begin"/>
        </w:r>
        <w:r w:rsidRPr="0001129B">
          <w:rPr>
            <w:b/>
            <w:bCs/>
          </w:rPr>
          <w:instrText xml:space="preserve"> PAGE   \* MERGEFORMAT </w:instrText>
        </w:r>
        <w:r w:rsidRPr="0001129B">
          <w:rPr>
            <w:b/>
            <w:bCs/>
          </w:rPr>
          <w:fldChar w:fldCharType="separate"/>
        </w:r>
        <w:r w:rsidRPr="0001129B">
          <w:rPr>
            <w:b/>
            <w:bCs/>
            <w:noProof/>
          </w:rPr>
          <w:t>2</w:t>
        </w:r>
        <w:r w:rsidRPr="0001129B">
          <w:rPr>
            <w:b/>
            <w:bCs/>
            <w:noProof/>
          </w:rPr>
          <w:fldChar w:fldCharType="end"/>
        </w:r>
      </w:p>
    </w:sdtContent>
  </w:sdt>
  <w:p w14:paraId="0F4AC5C6" w14:textId="110D027C" w:rsidR="0003284E" w:rsidRPr="0001129B" w:rsidRDefault="002447F2" w:rsidP="005E34B1">
    <w:pPr>
      <w:pStyle w:val="Footer"/>
      <w:bidi w:val="0"/>
      <w:spacing w:line="276" w:lineRule="auto"/>
    </w:pPr>
    <w:hyperlink r:id="rId1" w:history="1">
      <w:r w:rsidR="0001129B" w:rsidRPr="0001129B">
        <w:rPr>
          <w:rStyle w:val="Hyperlink"/>
          <w:rFonts w:ascii="Arial" w:eastAsia="Times New Roman" w:hAnsi="Arial" w:cs="Arial"/>
          <w:b/>
          <w:bCs/>
          <w:sz w:val="18"/>
          <w:szCs w:val="18"/>
          <w:u w:val="none"/>
        </w:rPr>
        <w:t>http://dx.doi.org/10.33762/mjbu.2023.134409.1118</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4C58" w14:textId="77777777" w:rsidR="00353C08" w:rsidRDefault="00353C08" w:rsidP="000F0F77">
    <w:pPr>
      <w:pStyle w:val="Footer"/>
    </w:pPr>
  </w:p>
  <w:p w14:paraId="58FB92ED" w14:textId="77777777" w:rsidR="00353C08" w:rsidRDefault="00353C08">
    <w:pPr>
      <w:pStyle w:val="Footer"/>
      <w:rPr>
        <w:lang w:bidi="ar-IQ"/>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52F5" w14:textId="77777777" w:rsidR="00353C08" w:rsidRDefault="00353C08">
    <w:pPr>
      <w:pStyle w:val="Footer"/>
      <w:jc w:val="center"/>
    </w:pPr>
  </w:p>
  <w:p w14:paraId="4B1F3D8C" w14:textId="77777777" w:rsidR="00353C08" w:rsidRDefault="00353C08">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485B" w14:textId="77777777" w:rsidR="002447F2" w:rsidRDefault="002447F2">
      <w:pPr>
        <w:spacing w:after="0"/>
      </w:pPr>
      <w:r>
        <w:separator/>
      </w:r>
    </w:p>
  </w:footnote>
  <w:footnote w:type="continuationSeparator" w:id="0">
    <w:p w14:paraId="16C76B41" w14:textId="77777777" w:rsidR="002447F2" w:rsidRDefault="002447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21B" w14:textId="093614A5" w:rsidR="00905A94" w:rsidRDefault="00905A94" w:rsidP="00905A94">
    <w:pPr>
      <w:pStyle w:val="Header"/>
      <w:bidi w:val="0"/>
    </w:pPr>
    <w:r>
      <w:rPr>
        <w:noProof/>
      </w:rPr>
      <mc:AlternateContent>
        <mc:Choice Requires="wps">
          <w:drawing>
            <wp:anchor distT="0" distB="0" distL="114300" distR="114300" simplePos="0" relativeHeight="251668480" behindDoc="0" locked="0" layoutInCell="1" allowOverlap="1" wp14:anchorId="041F2FDC" wp14:editId="01B6C22A">
              <wp:simplePos x="0" y="0"/>
              <wp:positionH relativeFrom="margin">
                <wp:posOffset>3543300</wp:posOffset>
              </wp:positionH>
              <wp:positionV relativeFrom="paragraph">
                <wp:posOffset>-267970</wp:posOffset>
              </wp:positionV>
              <wp:extent cx="3101340" cy="457200"/>
              <wp:effectExtent l="0" t="0" r="0" b="0"/>
              <wp:wrapTopAndBottom/>
              <wp:docPr id="5" name="مربع نص 1"/>
              <wp:cNvGraphicFramePr/>
              <a:graphic xmlns:a="http://schemas.openxmlformats.org/drawingml/2006/main">
                <a:graphicData uri="http://schemas.microsoft.com/office/word/2010/wordprocessingShape">
                  <wps:wsp>
                    <wps:cNvSpPr txBox="1"/>
                    <wps:spPr>
                      <a:xfrm>
                        <a:off x="0" y="0"/>
                        <a:ext cx="3101340" cy="457200"/>
                      </a:xfrm>
                      <a:prstGeom prst="rect">
                        <a:avLst/>
                      </a:prstGeom>
                      <a:noFill/>
                      <a:ln w="6350">
                        <a:noFill/>
                      </a:ln>
                    </wps:spPr>
                    <wps:txbx>
                      <w:txbxContent>
                        <w:p w14:paraId="708D5716" w14:textId="77777777" w:rsidR="00905A94" w:rsidRPr="00717E01" w:rsidRDefault="00905A94" w:rsidP="00905A94">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7952E5EB" w14:textId="77777777" w:rsidR="00905A94" w:rsidRPr="00717E01" w:rsidRDefault="00905A94" w:rsidP="00905A94">
                          <w:pPr>
                            <w:spacing w:after="0"/>
                            <w:jc w:val="center"/>
                            <w:rPr>
                              <w:rFonts w:cstheme="minorHAnsi"/>
                              <w:b/>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F2FDC" id="_x0000_t202" coordsize="21600,21600" o:spt="202" path="m,l,21600r21600,l21600,xe">
              <v:stroke joinstyle="miter"/>
              <v:path gradientshapeok="t" o:connecttype="rect"/>
            </v:shapetype>
            <v:shape id="مربع نص 1" o:spid="_x0000_s1032" type="#_x0000_t202" style="position:absolute;margin-left:279pt;margin-top:-21.1pt;width:244.2pt;height: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flPwIAAFYEAAAOAAAAZHJzL2Uyb0RvYy54bWysVL1u2zAQ3gv0HQjutaTYTlvBcuAmcFHA&#10;SAIkRWaaomwBJI8laUvu3j5L1g4d+ibO2/RIyY6Rdiq6UMe74/18350mF62SZCusq0EXNBuklAjN&#10;oaz1qqCf7+dv3lHiPNMlk6BFQXfC0Yvp61eTxuTiDNYgS2EJBtEub0xB196bPEkcXwvF3ACM0Gis&#10;wCrm8WpXSWlZg9GVTM7S9DxpwJbGAhfOofaqM9JpjF9VgvubqnLCE1lQrM3H08ZzGc5kOmH5yjKz&#10;rnlfBvuHKhSrNSY9hrpinpGNrf8IpWpuwUHlBxxUAlVVcxF7wG6y9EU3d2tmROwFwXHmCJP7f2H5&#10;9fbWkros6JgSzRRS9PRt/2P/uP9Fnr7vf5IsQNQYl6PnnUFf336AFqk+6B0qQ+dtZVX4Yk8E7Qj2&#10;7giwaD3hqBxmaTYcoYmjbTR+iwyGMMnza2Od/yhAkSAU1CKBEVe2XTjfuR5cQjIN81rKSKLUpCno&#10;+XCcxgdHCwaXGnOEHrpag+TbZds3toRyh31Z6IbDGT6vMfmCOX/LLE4D1osT7m/wqCRgEuglStZg&#10;v/5NH/yRJLRS0uB0FdR92TArKJGfNNL3PhsFGHy8RCAosaeW5alFb9Ql4ABnuEuGRxEfWy8PYmVB&#10;PeAizEJWNDHNMXdB/UG89N3M4yJxMZtFJxxAw/xC3xkeQgc4A7T37QOzpsffI3PXcJhDlr+gofPt&#10;iJhtPFR15CgA3KHa447DG1nuFy1sx+k9ej3/Dqa/AQAA//8DAFBLAwQUAAYACAAAACEA460FX+IA&#10;AAALAQAADwAAAGRycy9kb3ducmV2LnhtbEyPMU/DMBSEdyT+g/WQ2FoHK6lCiFNVkSokBENLF7aX&#10;2E0i7OcQu23g1+NOMJ7udPdduZ6tYWc9+cGRhIdlAkxT69RAnYTD+3aRA/MBSaFxpCV8aw/r6vam&#10;xEK5C+30eR86FkvIFyihD2EsOPdtry36pRs1Re/oJoshyqnjasJLLLeGiyRZcYsDxYUeR133uv3c&#10;n6yEl3r7hrtG2PzH1M+vx834dfjIpLy/mzdPwIKew18YrvgRHarI1LgTKc+MhCzL45cgYZEKAeya&#10;SNJVCqyRIB5z4FXJ/3+ofgEAAP//AwBQSwECLQAUAAYACAAAACEAtoM4kv4AAADhAQAAEwAAAAAA&#10;AAAAAAAAAAAAAAAAW0NvbnRlbnRfVHlwZXNdLnhtbFBLAQItABQABgAIAAAAIQA4/SH/1gAAAJQB&#10;AAALAAAAAAAAAAAAAAAAAC8BAABfcmVscy8ucmVsc1BLAQItABQABgAIAAAAIQA2T9flPwIAAFYE&#10;AAAOAAAAAAAAAAAAAAAAAC4CAABkcnMvZTJvRG9jLnhtbFBLAQItABQABgAIAAAAIQDjrQVf4gAA&#10;AAsBAAAPAAAAAAAAAAAAAAAAAJkEAABkcnMvZG93bnJldi54bWxQSwUGAAAAAAQABADzAAAAqAUA&#10;AAAA&#10;" filled="f" stroked="f" strokeweight=".5pt">
              <v:textbox>
                <w:txbxContent>
                  <w:p w14:paraId="708D5716" w14:textId="77777777" w:rsidR="00905A94" w:rsidRPr="00717E01" w:rsidRDefault="00905A94" w:rsidP="00905A94">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7952E5EB" w14:textId="77777777" w:rsidR="00905A94" w:rsidRPr="00717E01" w:rsidRDefault="00905A94" w:rsidP="00905A94">
                    <w:pPr>
                      <w:spacing w:after="0"/>
                      <w:jc w:val="center"/>
                      <w:rPr>
                        <w:rFonts w:cstheme="minorHAnsi"/>
                        <w:b/>
                        <w:bCs/>
                        <w:sz w:val="12"/>
                        <w:szCs w:val="12"/>
                      </w:rPr>
                    </w:pPr>
                  </w:p>
                </w:txbxContent>
              </v:textbox>
              <w10:wrap type="topAndBottom" anchorx="margin"/>
            </v:shape>
          </w:pict>
        </mc:Fallback>
      </mc:AlternateContent>
    </w:r>
    <w:r>
      <w:rPr>
        <w:noProof/>
      </w:rPr>
      <mc:AlternateContent>
        <mc:Choice Requires="wps">
          <w:drawing>
            <wp:anchor distT="0" distB="0" distL="114300" distR="114300" simplePos="0" relativeHeight="251666432" behindDoc="0" locked="0" layoutInCell="1" allowOverlap="1" wp14:anchorId="785B46C5" wp14:editId="291E1901">
              <wp:simplePos x="0" y="0"/>
              <wp:positionH relativeFrom="margin">
                <wp:posOffset>-175260</wp:posOffset>
              </wp:positionH>
              <wp:positionV relativeFrom="paragraph">
                <wp:posOffset>-274955</wp:posOffset>
              </wp:positionV>
              <wp:extent cx="2524125" cy="426720"/>
              <wp:effectExtent l="0" t="0" r="0" b="0"/>
              <wp:wrapTopAndBottom/>
              <wp:docPr id="4" name="مربع نص 1"/>
              <wp:cNvGraphicFramePr/>
              <a:graphic xmlns:a="http://schemas.openxmlformats.org/drawingml/2006/main">
                <a:graphicData uri="http://schemas.microsoft.com/office/word/2010/wordprocessingShape">
                  <wps:wsp>
                    <wps:cNvSpPr txBox="1"/>
                    <wps:spPr>
                      <a:xfrm>
                        <a:off x="0" y="0"/>
                        <a:ext cx="2524125" cy="426720"/>
                      </a:xfrm>
                      <a:prstGeom prst="rect">
                        <a:avLst/>
                      </a:prstGeom>
                      <a:noFill/>
                      <a:ln w="6350">
                        <a:noFill/>
                      </a:ln>
                    </wps:spPr>
                    <wps:txbx>
                      <w:txbxContent>
                        <w:p w14:paraId="4BA477E7" w14:textId="77777777" w:rsidR="00905A94" w:rsidRDefault="00905A94" w:rsidP="00905A94">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7F98C988" w14:textId="77777777" w:rsidR="00905A94" w:rsidRPr="00DC515E" w:rsidRDefault="00905A94" w:rsidP="00905A94">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Pr>
                              <w:b/>
                              <w:bCs/>
                              <w:sz w:val="20"/>
                              <w:szCs w:val="20"/>
                            </w:rPr>
                            <w:t>163-170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B46C5" id="_x0000_s1033" type="#_x0000_t202" style="position:absolute;margin-left:-13.8pt;margin-top:-21.65pt;width:198.7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znRAIAAF0EAAAOAAAAZHJzL2Uyb0RvYy54bWysVMGO0zAQvSPxD5bvNG1IC0RNV2VXRUir&#10;3ZW6aM+u4zSRbI+x3SblDt/ClQMH/qT7N4ydtlstnBAXZ+wZj+e9N5PpRack2QrrGtAFHQ2GlAjN&#10;oWz0uqCf7hev3lLiPNMlk6BFQXfC0YvZyxfT1uQihRpkKSzBJNrlrSlo7b3Jk8TxWijmBmCERmcF&#10;VjGPW7tOSstazK5kkg6Hk6QFWxoLXDiHp1e9k85i/qoS3N9WlROeyIJibT6uNq6rsCazKcvXlpm6&#10;4Ycy2D9UoVij8dFTqivmGdnY5o9UquEWHFR+wEElUFUNFxEDohkNn6FZ1syIiAXJceZEk/t/afnN&#10;9s6SpixoRolmCiV6/Lr/sf++/0Uev+1/klGgqDUux8ilwVjfvYcOpT6eOzwMyLvKqvBFTAT9SPbu&#10;RLDoPOF4mI7TbJSOKeHoy9LJmzQqkDzdNtb5DwIUCUZBLQoYeWXba+exEgw9hoTHNCwaKaOIUpO2&#10;oJPX42G8cPLgDanxYsDQ1xos3626CPuEYwXlDuFZ6HvEGb5osIZr5vwds9gUiAgb3d/iUknAt+Bg&#10;UVKD/fK38xCPWqGXkhabrKDu84ZZQYn8qFHFd6MsC10ZN9k40EHsuWd17tEbdQnYxyMcKcOjGeK9&#10;PJqVBfWA8zAPr6KLaY5vF9QfzUvftz7OExfzeQzCPjTMX+ul4SF1YDUwfN89MGsOMngU8AaO7cjy&#10;Z2r0sb0e842HqolSBZ57Vg/0Yw9HBQ/zFobkfB+jnv4Ks98AAAD//wMAUEsDBBQABgAIAAAAIQAM&#10;wwnH4wAAAAoBAAAPAAAAZHJzL2Rvd25yZXYueG1sTI/BTsMwDIbvSLxDZCRuW0oLZe2aTlOlCQmx&#10;w8Yuu7lN1lYkTmmyrfD0hBPcbPnT7+8vVpPR7KJG11sS8DCPgClqrOypFXB438wWwJxHkqgtKQFf&#10;ysGqvL0pMJf2Sjt12fuWhRByOQrovB9yzl3TKYNubgdF4Xayo0Ef1rHlcsRrCDeax1GUcoM9hQ8d&#10;DqrqVPOxPxsBr9Vmi7s6NotvXb28ndbD5+H4JMT93bReAvNq8n8w/OoHdSiDU23PJB3TAmbxcxrQ&#10;MDwmCbBAJGmWAasFxEkGvCz4/wrlDwAAAP//AwBQSwECLQAUAAYACAAAACEAtoM4kv4AAADhAQAA&#10;EwAAAAAAAAAAAAAAAAAAAAAAW0NvbnRlbnRfVHlwZXNdLnhtbFBLAQItABQABgAIAAAAIQA4/SH/&#10;1gAAAJQBAAALAAAAAAAAAAAAAAAAAC8BAABfcmVscy8ucmVsc1BLAQItABQABgAIAAAAIQB5Vxzn&#10;RAIAAF0EAAAOAAAAAAAAAAAAAAAAAC4CAABkcnMvZTJvRG9jLnhtbFBLAQItABQABgAIAAAAIQAM&#10;wwnH4wAAAAoBAAAPAAAAAAAAAAAAAAAAAJ4EAABkcnMvZG93bnJldi54bWxQSwUGAAAAAAQABADz&#10;AAAArgUAAAAA&#10;" filled="f" stroked="f" strokeweight=".5pt">
              <v:textbox>
                <w:txbxContent>
                  <w:p w14:paraId="4BA477E7" w14:textId="77777777" w:rsidR="00905A94" w:rsidRDefault="00905A94" w:rsidP="00905A94">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7F98C988" w14:textId="77777777" w:rsidR="00905A94" w:rsidRPr="00DC515E" w:rsidRDefault="00905A94" w:rsidP="00905A94">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Pr>
                        <w:b/>
                        <w:bCs/>
                        <w:sz w:val="20"/>
                        <w:szCs w:val="20"/>
                      </w:rPr>
                      <w:t>163-170</w:t>
                    </w:r>
                  </w:p>
                </w:txbxContent>
              </v:textbox>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0987" w14:textId="215C72D4" w:rsidR="00413F4E" w:rsidRDefault="00717E01">
    <w:pPr>
      <w:pStyle w:val="Header"/>
    </w:pPr>
    <w:r>
      <w:rPr>
        <w:noProof/>
      </w:rPr>
      <mc:AlternateContent>
        <mc:Choice Requires="wps">
          <w:drawing>
            <wp:anchor distT="0" distB="0" distL="114300" distR="114300" simplePos="0" relativeHeight="251661312" behindDoc="0" locked="0" layoutInCell="1" allowOverlap="1" wp14:anchorId="7E41E18C" wp14:editId="1F14A0C0">
              <wp:simplePos x="0" y="0"/>
              <wp:positionH relativeFrom="margin">
                <wp:posOffset>3219450</wp:posOffset>
              </wp:positionH>
              <wp:positionV relativeFrom="paragraph">
                <wp:posOffset>-285750</wp:posOffset>
              </wp:positionV>
              <wp:extent cx="3101340" cy="457200"/>
              <wp:effectExtent l="0" t="0" r="0" b="0"/>
              <wp:wrapTopAndBottom/>
              <wp:docPr id="1" name="مربع نص 1"/>
              <wp:cNvGraphicFramePr/>
              <a:graphic xmlns:a="http://schemas.openxmlformats.org/drawingml/2006/main">
                <a:graphicData uri="http://schemas.microsoft.com/office/word/2010/wordprocessingShape">
                  <wps:wsp>
                    <wps:cNvSpPr txBox="1"/>
                    <wps:spPr>
                      <a:xfrm>
                        <a:off x="0" y="0"/>
                        <a:ext cx="3101340" cy="457200"/>
                      </a:xfrm>
                      <a:prstGeom prst="rect">
                        <a:avLst/>
                      </a:prstGeom>
                      <a:noFill/>
                      <a:ln w="6350">
                        <a:noFill/>
                      </a:ln>
                    </wps:spPr>
                    <wps:txbx>
                      <w:txbxContent>
                        <w:p w14:paraId="0BAABF75" w14:textId="77777777" w:rsidR="00413F4E" w:rsidRPr="00717E01" w:rsidRDefault="00413F4E" w:rsidP="00717E01">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1AA43F1D" w14:textId="1725FD66" w:rsidR="00413F4E" w:rsidRPr="00717E01" w:rsidRDefault="00413F4E" w:rsidP="00717E01">
                          <w:pPr>
                            <w:spacing w:after="0"/>
                            <w:jc w:val="center"/>
                            <w:rPr>
                              <w:rFonts w:cstheme="minorHAnsi"/>
                              <w:b/>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1E18C" id="_x0000_t202" coordsize="21600,21600" o:spt="202" path="m,l,21600r21600,l21600,xe">
              <v:stroke joinstyle="miter"/>
              <v:path gradientshapeok="t" o:connecttype="rect"/>
            </v:shapetype>
            <v:shape id="_x0000_s1034" type="#_x0000_t202" style="position:absolute;left:0;text-align:left;margin-left:253.5pt;margin-top:-22.5pt;width:244.2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sQQgIAAF0EAAAOAAAAZHJzL2Uyb0RvYy54bWysVMFu2zAMvQ/YPwi6L7aTtNuMOEXWIsOA&#10;oC3QDj0rspwYkERNUmJn9+1bet1hh/1J+jejZCcNup2GXRSapEi+96hMLlolyVZYV4MuaDZIKRGa&#10;Q1nrVUE/38/fvKPEeaZLJkGLgu6EoxfT168mjcnFENYgS2EJFtEub0xB196bPEkcXwvF3ACM0Bis&#10;wCrm8dOuktKyBqsrmQzT9DxpwJbGAhfOofeqC9JprF9VgvubqnLCE1lQnM3H08ZzGc5kOmH5yjKz&#10;rnk/BvuHKRSrNTY9lrpinpGNrf8opWpuwUHlBxxUAlVVcxExIJosfYHmbs2MiFiQHGeONLn/V5Zf&#10;b28tqUvUjhLNFEr09G3/Y/+4/0Wevu9/kixQ1BiXY+adwVzffoA2pPd+h86AvK2sCr+IiWAcyd4d&#10;CRatJxydoyzNRmMMcYyNz96igqFM8nzbWOc/ClAkGAW1KGDklW0Xzneph5TQTMO8lhL9LJeaNAU9&#10;H52l8cIxgsWlxh4BQzdrsHy7bCPs4QHHEsodwrPQ7YgzfF7jDAvm/C2zuBQ4Ni66v8GjkoC9oLco&#10;WYP9+jd/yEetMEpJg0tWUPdlw6ygRH7SqOL7bBzY8PEj8kGJPY0sTyN6oy4B9xiVwumiiZetlwez&#10;sqAe8D3MQlcMMc2xd0H9wbz03erje+JiNotJuIeG+YW+MzyUDlQGhu/bB2ZNL4NHAa/hsI4sf6FG&#10;l9vpMdt4qOooVeC5Y7WnH3c4it2/t/BITr9j1vO/wvQ3AAAA//8DAFBLAwQUAAYACAAAACEAqVTZ&#10;q+EAAAAKAQAADwAAAGRycy9kb3ducmV2LnhtbEyPwU7DMBBE70j8g7VI3FqHqIE2xKmqSBUSgkNL&#10;L9w2sZtE2OsQu23g61lOcNvRjGbfFOvJWXE2Y+g9KbibJyAMNV731Co4vG1nSxAhImm0noyCLxNg&#10;XV5fFZhrf6GdOe9jK7iEQo4KuhiHXMrQdMZhmPvBEHtHPzqMLMdW6hEvXO6sTJPkXjrsiT90OJiq&#10;M83H/uQUPFfbV9zVqVt+2+rp5bgZPg/vmVK3N9PmEUQ0U/wLwy8+o0PJTLU/kQ7CKsiSB94SFcwW&#10;GR+cWK2yBYhaQcqOLAv5f0L5AwAA//8DAFBLAQItABQABgAIAAAAIQC2gziS/gAAAOEBAAATAAAA&#10;AAAAAAAAAAAAAAAAAABbQ29udGVudF9UeXBlc10ueG1sUEsBAi0AFAAGAAgAAAAhADj9If/WAAAA&#10;lAEAAAsAAAAAAAAAAAAAAAAALwEAAF9yZWxzLy5yZWxzUEsBAi0AFAAGAAgAAAAhADh1exBCAgAA&#10;XQQAAA4AAAAAAAAAAAAAAAAALgIAAGRycy9lMm9Eb2MueG1sUEsBAi0AFAAGAAgAAAAhAKlU2avh&#10;AAAACgEAAA8AAAAAAAAAAAAAAAAAnAQAAGRycy9kb3ducmV2LnhtbFBLBQYAAAAABAAEAPMAAACq&#10;BQAAAAA=&#10;" filled="f" stroked="f" strokeweight=".5pt">
              <v:textbox>
                <w:txbxContent>
                  <w:p w14:paraId="0BAABF75" w14:textId="77777777" w:rsidR="00413F4E" w:rsidRPr="00717E01" w:rsidRDefault="00413F4E" w:rsidP="00717E01">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1AA43F1D" w14:textId="1725FD66" w:rsidR="00413F4E" w:rsidRPr="00717E01" w:rsidRDefault="00413F4E" w:rsidP="00717E01">
                    <w:pPr>
                      <w:spacing w:after="0"/>
                      <w:jc w:val="center"/>
                      <w:rPr>
                        <w:rFonts w:cstheme="minorHAnsi"/>
                        <w:b/>
                        <w:bCs/>
                        <w:sz w:val="12"/>
                        <w:szCs w:val="12"/>
                      </w:rPr>
                    </w:pPr>
                  </w:p>
                </w:txbxContent>
              </v:textbox>
              <w10:wrap type="topAndBottom" anchorx="margin"/>
            </v:shape>
          </w:pict>
        </mc:Fallback>
      </mc:AlternateContent>
    </w:r>
    <w:r w:rsidR="00413F4E">
      <w:rPr>
        <w:noProof/>
      </w:rPr>
      <mc:AlternateContent>
        <mc:Choice Requires="wps">
          <w:drawing>
            <wp:anchor distT="0" distB="0" distL="114300" distR="114300" simplePos="0" relativeHeight="251659264" behindDoc="0" locked="0" layoutInCell="1" allowOverlap="1" wp14:anchorId="6FAE64FE" wp14:editId="17429BB9">
              <wp:simplePos x="0" y="0"/>
              <wp:positionH relativeFrom="margin">
                <wp:posOffset>26670</wp:posOffset>
              </wp:positionH>
              <wp:positionV relativeFrom="paragraph">
                <wp:posOffset>-255270</wp:posOffset>
              </wp:positionV>
              <wp:extent cx="2524125" cy="426720"/>
              <wp:effectExtent l="0" t="0" r="0" b="0"/>
              <wp:wrapTopAndBottom/>
              <wp:docPr id="570310870" name="مربع نص 1"/>
              <wp:cNvGraphicFramePr/>
              <a:graphic xmlns:a="http://schemas.openxmlformats.org/drawingml/2006/main">
                <a:graphicData uri="http://schemas.microsoft.com/office/word/2010/wordprocessingShape">
                  <wps:wsp>
                    <wps:cNvSpPr txBox="1"/>
                    <wps:spPr>
                      <a:xfrm>
                        <a:off x="0" y="0"/>
                        <a:ext cx="2524125" cy="426720"/>
                      </a:xfrm>
                      <a:prstGeom prst="rect">
                        <a:avLst/>
                      </a:prstGeom>
                      <a:noFill/>
                      <a:ln w="6350">
                        <a:noFill/>
                      </a:ln>
                    </wps:spPr>
                    <wps:txbx>
                      <w:txbxContent>
                        <w:p w14:paraId="734C8EA0" w14:textId="77777777" w:rsidR="00413F4E" w:rsidRDefault="00413F4E" w:rsidP="00413F4E">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5B087DBE" w14:textId="4BD5595C" w:rsidR="00413F4E" w:rsidRPr="00DC515E" w:rsidRDefault="00413F4E" w:rsidP="00413F4E">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sidR="00AE7AED">
                            <w:rPr>
                              <w:b/>
                              <w:bCs/>
                              <w:sz w:val="20"/>
                              <w:szCs w:val="20"/>
                            </w:rPr>
                            <w:t>163-</w:t>
                          </w:r>
                          <w:r w:rsidR="00905A94">
                            <w:rPr>
                              <w:b/>
                              <w:bCs/>
                              <w:sz w:val="20"/>
                              <w:szCs w:val="20"/>
                            </w:rPr>
                            <w:t>170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E64FE" id="_x0000_s1035" type="#_x0000_t202" style="position:absolute;left:0;text-align:left;margin-left:2.1pt;margin-top:-20.1pt;width:198.75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e1SwIAAGUEAAAOAAAAZHJzL2Uyb0RvYy54bWysVEtu2zAQ3RfoHQjua338SSpYDtwELgoY&#10;SQCnyJqmKEuAxGFJ2pK7b8+SbRdd9CbObTqkLMdIuyq6oYac/3szml61dUV2QpsSZEqjQUiJkByy&#10;Um5S+vlh8e6SEmOZzFgFUqR0Lwy9mr19M21UImIooMqEJhhEmqRRKS2sVUkQGF6ImpkBKCFRmYOu&#10;mcWr3gSZZg1Gr6sgDsNJ0IDOlAYujMHXm05JZz5+ngtu7/LcCEuqlGJt1p/an2t3BrMpSzaaqaLk&#10;xzLYP1RRs1Ji0lOoG2YZ2eryj1B1yTUYyO2AQx1Anpdc+B6wmyh81c2qYEr4XhAco04wmf8Xlt/u&#10;7jUps5SOL8JhFF5eIEqS1UjV87fDj8PT4Rd5/n74SSIHVaNMgh4rhT62/QAtUt6/G3x0CLS5rt0X&#10;eyOox3D7E9CitYTjYzyOR1E8poSjbhRPLmLPRPDirbSxHwXUxAkp1Uikx5ftlsZiJWjam7hkEhZl&#10;VXkyK0malE6G49A7nDToUUl0dD10tTrJtuvWtz/s+1hDtsf2NHSzYhRflFjDkhl7zzQOB3aEA2/v&#10;8MgrwFxwlCgpQH/927uzR85QS0mDw5ZS82XLtKCk+iSRzffRaOSm019GYwcH0eea9blGbutrwHmO&#10;cLUU96Kzt1Uv5hrqR9yLucuKKiY55k6p7cVr260A7hUX87k3wnlUzC7lSnEX2qHqEH5oH5lWRxos&#10;EngL/Viy5BUbnW3Hx3xrIS89VQ7nDtUj/DjLnsHj3rllOb97q5e/w+w3AAAA//8DAFBLAwQUAAYA&#10;CAAAACEAJalrf+AAAAAIAQAADwAAAGRycy9kb3ducmV2LnhtbEyPwU7DMBBE70j8g7VI3Fq7UaBV&#10;iFNVkSokBIeWXrg58TaJiNchdtvA17Oc6G1WM5p5m68n14szjqHzpGExVyCQam87ajQc3rezFYgQ&#10;DVnTe0IN3xhgXdze5Caz/kI7PO9jI7iEQmY0tDEOmZShbtGZMPcDEntHPzoT+RwbaUdz4XLXy0Sp&#10;R+lMR7zQmgHLFuvP/clpeCm3b2ZXJW7105fPr8fN8HX4eND6/m7aPIGIOMX/MPzhMzoUzFT5E9kg&#10;eg1pwkENs1SxYD9ViyWISkOyVCCLXF4/UPwCAAD//wMAUEsBAi0AFAAGAAgAAAAhALaDOJL+AAAA&#10;4QEAABMAAAAAAAAAAAAAAAAAAAAAAFtDb250ZW50X1R5cGVzXS54bWxQSwECLQAUAAYACAAAACEA&#10;OP0h/9YAAACUAQAACwAAAAAAAAAAAAAAAAAvAQAAX3JlbHMvLnJlbHNQSwECLQAUAAYACAAAACEA&#10;5Jr3tUsCAABlBAAADgAAAAAAAAAAAAAAAAAuAgAAZHJzL2Uyb0RvYy54bWxQSwECLQAUAAYACAAA&#10;ACEAJalrf+AAAAAIAQAADwAAAAAAAAAAAAAAAAClBAAAZHJzL2Rvd25yZXYueG1sUEsFBgAAAAAE&#10;AAQA8wAAALIFAAAAAA==&#10;" filled="f" stroked="f" strokeweight=".5pt">
              <v:textbox>
                <w:txbxContent>
                  <w:p w14:paraId="734C8EA0" w14:textId="77777777" w:rsidR="00413F4E" w:rsidRDefault="00413F4E" w:rsidP="00413F4E">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5B087DBE" w14:textId="4BD5595C" w:rsidR="00413F4E" w:rsidRPr="00DC515E" w:rsidRDefault="00413F4E" w:rsidP="00413F4E">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sidR="00AE7AED">
                      <w:rPr>
                        <w:b/>
                        <w:bCs/>
                        <w:sz w:val="20"/>
                        <w:szCs w:val="20"/>
                      </w:rPr>
                      <w:t>163-</w:t>
                    </w:r>
                    <w:r w:rsidR="00905A94">
                      <w:rPr>
                        <w:b/>
                        <w:bCs/>
                        <w:sz w:val="20"/>
                        <w:szCs w:val="20"/>
                      </w:rPr>
                      <w:t>170</w:t>
                    </w:r>
                  </w:p>
                </w:txbxContent>
              </v:textbox>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C0F9" w14:textId="77777777" w:rsidR="0010204D" w:rsidRDefault="0010204D">
    <w:pPr>
      <w:pStyle w:val="Header"/>
    </w:pPr>
    <w:r>
      <w:rPr>
        <w:noProof/>
      </w:rPr>
      <mc:AlternateContent>
        <mc:Choice Requires="wps">
          <w:drawing>
            <wp:anchor distT="0" distB="0" distL="114300" distR="114300" simplePos="0" relativeHeight="251664384" behindDoc="0" locked="0" layoutInCell="1" allowOverlap="1" wp14:anchorId="59DE05F1" wp14:editId="3596E790">
              <wp:simplePos x="0" y="0"/>
              <wp:positionH relativeFrom="margin">
                <wp:posOffset>3219450</wp:posOffset>
              </wp:positionH>
              <wp:positionV relativeFrom="paragraph">
                <wp:posOffset>-285750</wp:posOffset>
              </wp:positionV>
              <wp:extent cx="3101340" cy="457200"/>
              <wp:effectExtent l="0" t="0" r="0" b="0"/>
              <wp:wrapTopAndBottom/>
              <wp:docPr id="2" name="مربع نص 1"/>
              <wp:cNvGraphicFramePr/>
              <a:graphic xmlns:a="http://schemas.openxmlformats.org/drawingml/2006/main">
                <a:graphicData uri="http://schemas.microsoft.com/office/word/2010/wordprocessingShape">
                  <wps:wsp>
                    <wps:cNvSpPr txBox="1"/>
                    <wps:spPr>
                      <a:xfrm>
                        <a:off x="0" y="0"/>
                        <a:ext cx="3101340" cy="457200"/>
                      </a:xfrm>
                      <a:prstGeom prst="rect">
                        <a:avLst/>
                      </a:prstGeom>
                      <a:noFill/>
                      <a:ln w="6350">
                        <a:noFill/>
                      </a:ln>
                    </wps:spPr>
                    <wps:txbx>
                      <w:txbxContent>
                        <w:p w14:paraId="2A3E8BBD" w14:textId="77777777" w:rsidR="0010204D" w:rsidRPr="00717E01" w:rsidRDefault="0010204D" w:rsidP="00717E01">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3C839B2A" w14:textId="77777777" w:rsidR="0010204D" w:rsidRPr="00717E01" w:rsidRDefault="0010204D" w:rsidP="00717E01">
                          <w:pPr>
                            <w:spacing w:after="0"/>
                            <w:jc w:val="center"/>
                            <w:rPr>
                              <w:rFonts w:cstheme="minorHAnsi"/>
                              <w:b/>
                              <w:bCs/>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E05F1" id="_x0000_t202" coordsize="21600,21600" o:spt="202" path="m,l,21600r21600,l21600,xe">
              <v:stroke joinstyle="miter"/>
              <v:path gradientshapeok="t" o:connecttype="rect"/>
            </v:shapetype>
            <v:shape id="_x0000_s1036" type="#_x0000_t202" style="position:absolute;left:0;text-align:left;margin-left:253.5pt;margin-top:-22.5pt;width:244.2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PQgIAAF0EAAAOAAAAZHJzL2Uyb0RvYy54bWysVL1u2zAQ3gv0HQjutSTbSVvBcuAmcFHA&#10;SAIkRWaaIm0BIo8laUvu3j5L1g4d+ibO2/RIWY6Rdiq6UMe74/18350mF62qyVZYV4EuaDZIKRGa&#10;Q1npVUE/38/fvKPEeaZLVoMWBd0JRy+mr19NGpOLIayhLoUlGES7vDEFXXtv8iRxfC0UcwMwQqNR&#10;glXM49WuktKyBqOrOhmm6XnSgC2NBS6cQ+1VZ6TTGF9Kwf2NlE54UhcUa/PxtPFchjOZTli+ssys&#10;K34og/1DFYpVGpMeQ10xz8jGVn+EUhW34ED6AQeVgJQVF7EH7CZLX3Rzt2ZGxF4QHGeOMLn/F5Zf&#10;b28tqcqCDinRTCFFT9/2P/aP+1/k6fv+J8kCRI1xOXreGfT17Qdokepe71AZOm+lVeGLPRG0I9i7&#10;I8Ci9YSjcpSl2WiMJo628dlbZDCESZ5fG+v8RwGKBKGgFgmMuLLtwvnOtXcJyTTMq7qOJNaaNAU9&#10;H52l8cHRgsFrjTlCD12tQfLtso1tj/s+llDusD0L3Yw4w+cV1rBgzt8yi0OBZeOg+xs8ZA2YCw4S&#10;JWuwX/+mD/7IFVopaXDICuq+bJgVlNSfNLL4PhsHNHy8RDwosaeW5alFb9Ql4BxnuFKGRxEfW1/3&#10;orSgHnAfZiErmpjmmLugvhcvfTf6uE9czGbRCefQML/Qd4aH0AHVgPB9+8CsOdDgkcBr6MeR5S/Y&#10;6Hw7PmYbD7KKVAWcO1QP8OMMR7IP+xaW5PQevZ7/CtPfAAAA//8DAFBLAwQUAAYACAAAACEAqVTZ&#10;q+EAAAAKAQAADwAAAGRycy9kb3ducmV2LnhtbEyPwU7DMBBE70j8g7VI3FqHqIE2xKmqSBUSgkNL&#10;L9w2sZtE2OsQu23g61lOcNvRjGbfFOvJWXE2Y+g9KbibJyAMNV731Co4vG1nSxAhImm0noyCLxNg&#10;XV5fFZhrf6GdOe9jK7iEQo4KuhiHXMrQdMZhmPvBEHtHPzqMLMdW6hEvXO6sTJPkXjrsiT90OJiq&#10;M83H/uQUPFfbV9zVqVt+2+rp5bgZPg/vmVK3N9PmEUQ0U/wLwy8+o0PJTLU/kQ7CKsiSB94SFcwW&#10;GR+cWK2yBYhaQcqOLAv5f0L5AwAA//8DAFBLAQItABQABgAIAAAAIQC2gziS/gAAAOEBAAATAAAA&#10;AAAAAAAAAAAAAAAAAABbQ29udGVudF9UeXBlc10ueG1sUEsBAi0AFAAGAAgAAAAhADj9If/WAAAA&#10;lAEAAAsAAAAAAAAAAAAAAAAALwEAAF9yZWxzLy5yZWxzUEsBAi0AFAAGAAgAAAAhANbD8M9CAgAA&#10;XQQAAA4AAAAAAAAAAAAAAAAALgIAAGRycy9lMm9Eb2MueG1sUEsBAi0AFAAGAAgAAAAhAKlU2avh&#10;AAAACgEAAA8AAAAAAAAAAAAAAAAAnAQAAGRycy9kb3ducmV2LnhtbFBLBQYAAAAABAAEAPMAAACq&#10;BQAAAAA=&#10;" filled="f" stroked="f" strokeweight=".5pt">
              <v:textbox>
                <w:txbxContent>
                  <w:p w14:paraId="2A3E8BBD" w14:textId="77777777" w:rsidR="0010204D" w:rsidRPr="00717E01" w:rsidRDefault="0010204D" w:rsidP="00717E01">
                    <w:pPr>
                      <w:bidi w:val="0"/>
                      <w:spacing w:after="0"/>
                      <w:ind w:right="51"/>
                      <w:jc w:val="center"/>
                      <w:rPr>
                        <w:rFonts w:cstheme="minorHAnsi"/>
                        <w:b/>
                        <w:bCs/>
                        <w:sz w:val="18"/>
                        <w:szCs w:val="18"/>
                      </w:rPr>
                    </w:pPr>
                    <w:r w:rsidRPr="00717E01">
                      <w:rPr>
                        <w:rFonts w:cstheme="minorHAnsi"/>
                        <w:b/>
                        <w:bCs/>
                        <w:sz w:val="18"/>
                        <w:szCs w:val="18"/>
                      </w:rPr>
                      <w:t>The Impact of Severe Hypertriglyceridemia on Glycosylated Hemoglobin Test in Type 2 Diabetes Mellitus</w:t>
                    </w:r>
                  </w:p>
                  <w:p w14:paraId="3C839B2A" w14:textId="77777777" w:rsidR="0010204D" w:rsidRPr="00717E01" w:rsidRDefault="0010204D" w:rsidP="00717E01">
                    <w:pPr>
                      <w:spacing w:after="0"/>
                      <w:jc w:val="center"/>
                      <w:rPr>
                        <w:rFonts w:cstheme="minorHAnsi"/>
                        <w:b/>
                        <w:bCs/>
                        <w:sz w:val="12"/>
                        <w:szCs w:val="12"/>
                      </w:rPr>
                    </w:pPr>
                  </w:p>
                </w:txbxContent>
              </v:textbox>
              <w10:wrap type="topAndBottom" anchorx="margin"/>
            </v:shape>
          </w:pict>
        </mc:Fallback>
      </mc:AlternateContent>
    </w:r>
    <w:r>
      <w:rPr>
        <w:noProof/>
      </w:rPr>
      <mc:AlternateContent>
        <mc:Choice Requires="wps">
          <w:drawing>
            <wp:anchor distT="0" distB="0" distL="114300" distR="114300" simplePos="0" relativeHeight="251663360" behindDoc="0" locked="0" layoutInCell="1" allowOverlap="1" wp14:anchorId="793E4032" wp14:editId="6431C9E7">
              <wp:simplePos x="0" y="0"/>
              <wp:positionH relativeFrom="margin">
                <wp:posOffset>26670</wp:posOffset>
              </wp:positionH>
              <wp:positionV relativeFrom="paragraph">
                <wp:posOffset>-255270</wp:posOffset>
              </wp:positionV>
              <wp:extent cx="2524125" cy="426720"/>
              <wp:effectExtent l="0" t="0" r="0" b="0"/>
              <wp:wrapTopAndBottom/>
              <wp:docPr id="3" name="مربع نص 1"/>
              <wp:cNvGraphicFramePr/>
              <a:graphic xmlns:a="http://schemas.openxmlformats.org/drawingml/2006/main">
                <a:graphicData uri="http://schemas.microsoft.com/office/word/2010/wordprocessingShape">
                  <wps:wsp>
                    <wps:cNvSpPr txBox="1"/>
                    <wps:spPr>
                      <a:xfrm>
                        <a:off x="0" y="0"/>
                        <a:ext cx="2524125" cy="426720"/>
                      </a:xfrm>
                      <a:prstGeom prst="rect">
                        <a:avLst/>
                      </a:prstGeom>
                      <a:noFill/>
                      <a:ln w="6350">
                        <a:noFill/>
                      </a:ln>
                    </wps:spPr>
                    <wps:txbx>
                      <w:txbxContent>
                        <w:p w14:paraId="1B5D8836" w14:textId="77777777" w:rsidR="0010204D" w:rsidRDefault="0010204D" w:rsidP="00413F4E">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6E3F48E5" w14:textId="77777777" w:rsidR="0010204D" w:rsidRPr="00DC515E" w:rsidRDefault="0010204D" w:rsidP="00413F4E">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Pr>
                              <w:b/>
                              <w:bCs/>
                              <w:sz w:val="20"/>
                              <w:szCs w:val="20"/>
                            </w:rPr>
                            <w:t>163-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E4032" id="_x0000_s1037" type="#_x0000_t202" style="position:absolute;left:0;text-align:left;margin-left:2.1pt;margin-top:-20.1pt;width:198.75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qkRQIAAF0EAAAOAAAAZHJzL2Uyb0RvYy54bWysVLFu2zAQ3Qv0HwjutSzFdlvBcuAmcFHA&#10;SAI4RWaaoiwBIo8laUvu3n5L1g4d+ifO3/RIWY6Rdiq6UEfe8XjvvTtNL1tZk50wtgKV0XgwpEQo&#10;DnmlNhn9fL94844S65jKWQ1KZHQvLL2cvX41bXQqEiihzoUhmETZtNEZLZ3TaRRZXgrJ7AC0UOgs&#10;wEjmcGs2UW5Yg9llHSXD4SRqwOTaABfW4ul156SzkL8oBHe3RWGFI3VGsTYXVhPWtV+j2ZSlG8N0&#10;WfFjGewfqpCsUvjoKdU1c4xsTfVHKllxAxYKN+AgIyiKiouAAdHEwxdoViXTImBBcqw+0WT/X1p+&#10;s7szpMozekGJYhIlevp2+HF4PPwiT98PP0nsKWq0TTFypTHWtR+gRan7c4uHHnlbGOm/iImgH8ne&#10;nwgWrSMcD5NxMoqTMSUcfaNk8jYJCkTPt7Wx7qMASbyRUYMCBl7ZbmkdVoKhfYh/TMGiqusgYq1I&#10;k9HJxXgYLpw8eKNWeNFj6Gr1lmvXbYA97nGsId8jPANdj1jNFxXWsGTW3TGDTYGIsNHdLS5FDfgW&#10;HC1KSjBf/3bu41Er9FLSYJNl1H7ZMiMoqT8pVPF9PBr5rgyb0djTQcy5Z33uUVt5BdjHMY6U5sH0&#10;8a7uzcKAfMB5mPtX0cUUx7cz6nrzynWtj/PExXwegrAPNXNLtdLcp/aseobv2wdm9FEGhwLeQN+O&#10;LH2hRhfb6THfOiiqIJXnuWP1SD/2cFDwOG9+SM73Ier5rzD7DQAA//8DAFBLAwQUAAYACAAAACEA&#10;Jalrf+AAAAAIAQAADwAAAGRycy9kb3ducmV2LnhtbEyPwU7DMBBE70j8g7VI3Fq7UaBViFNVkSok&#10;BIeWXrg58TaJiNchdtvA17Oc6G1WM5p5m68n14szjqHzpGExVyCQam87ajQc3rezFYgQDVnTe0IN&#10;3xhgXdze5Caz/kI7PO9jI7iEQmY0tDEOmZShbtGZMPcDEntHPzoT+RwbaUdz4XLXy0SpR+lMR7zQ&#10;mgHLFuvP/clpeCm3b2ZXJW7105fPr8fN8HX4eND6/m7aPIGIOMX/MPzhMzoUzFT5E9kgeg1pwkEN&#10;s1SxYD9ViyWISkOyVCCLXF4/UPwCAAD//wMAUEsBAi0AFAAGAAgAAAAhALaDOJL+AAAA4QEAABMA&#10;AAAAAAAAAAAAAAAAAAAAAFtDb250ZW50X1R5cGVzXS54bWxQSwECLQAUAAYACAAAACEAOP0h/9YA&#10;AACUAQAACwAAAAAAAAAAAAAAAAAvAQAAX3JlbHMvLnJlbHNQSwECLQAUAAYACAAAACEAvEDapEUC&#10;AABdBAAADgAAAAAAAAAAAAAAAAAuAgAAZHJzL2Uyb0RvYy54bWxQSwECLQAUAAYACAAAACEAJalr&#10;f+AAAAAIAQAADwAAAAAAAAAAAAAAAACfBAAAZHJzL2Rvd25yZXYueG1sUEsFBgAAAAAEAAQA8wAA&#10;AKwFAAAAAA==&#10;" filled="f" stroked="f" strokeweight=".5pt">
              <v:textbox>
                <w:txbxContent>
                  <w:p w14:paraId="1B5D8836" w14:textId="77777777" w:rsidR="0010204D" w:rsidRDefault="0010204D" w:rsidP="00413F4E">
                    <w:pPr>
                      <w:bidi w:val="0"/>
                      <w:spacing w:after="0"/>
                      <w:rPr>
                        <w:b/>
                        <w:bCs/>
                        <w:sz w:val="20"/>
                        <w:szCs w:val="20"/>
                      </w:rPr>
                    </w:pPr>
                    <w:r w:rsidRPr="00C502E3">
                      <w:rPr>
                        <w:b/>
                        <w:bCs/>
                        <w:sz w:val="20"/>
                        <w:szCs w:val="20"/>
                      </w:rPr>
                      <w:t>The Medical</w:t>
                    </w:r>
                    <w:r>
                      <w:rPr>
                        <w:b/>
                        <w:bCs/>
                        <w:sz w:val="20"/>
                        <w:szCs w:val="20"/>
                      </w:rPr>
                      <w:t xml:space="preserve"> J</w:t>
                    </w:r>
                    <w:r w:rsidRPr="00C502E3">
                      <w:rPr>
                        <w:b/>
                        <w:bCs/>
                        <w:sz w:val="20"/>
                        <w:szCs w:val="20"/>
                      </w:rPr>
                      <w:t xml:space="preserve">ournal of </w:t>
                    </w:r>
                    <w:proofErr w:type="spellStart"/>
                    <w:r w:rsidRPr="00C502E3">
                      <w:rPr>
                        <w:b/>
                        <w:bCs/>
                        <w:sz w:val="20"/>
                        <w:szCs w:val="20"/>
                      </w:rPr>
                      <w:t>Basrah</w:t>
                    </w:r>
                    <w:proofErr w:type="spellEnd"/>
                    <w:r w:rsidRPr="00C502E3">
                      <w:rPr>
                        <w:b/>
                        <w:bCs/>
                        <w:sz w:val="20"/>
                        <w:szCs w:val="20"/>
                      </w:rPr>
                      <w:t xml:space="preserve"> </w:t>
                    </w:r>
                    <w:r>
                      <w:rPr>
                        <w:b/>
                        <w:bCs/>
                        <w:sz w:val="20"/>
                        <w:szCs w:val="20"/>
                      </w:rPr>
                      <w:t>U</w:t>
                    </w:r>
                    <w:r w:rsidRPr="00C502E3">
                      <w:rPr>
                        <w:b/>
                        <w:bCs/>
                        <w:sz w:val="20"/>
                        <w:szCs w:val="20"/>
                      </w:rPr>
                      <w:t>niversity</w:t>
                    </w:r>
                  </w:p>
                  <w:p w14:paraId="6E3F48E5" w14:textId="77777777" w:rsidR="0010204D" w:rsidRPr="00DC515E" w:rsidRDefault="0010204D" w:rsidP="00413F4E">
                    <w:pPr>
                      <w:bidi w:val="0"/>
                      <w:spacing w:after="0"/>
                      <w:jc w:val="both"/>
                      <w:rPr>
                        <w:b/>
                        <w:bCs/>
                        <w:sz w:val="20"/>
                        <w:szCs w:val="20"/>
                      </w:rPr>
                    </w:pPr>
                    <w:r w:rsidRPr="00C502E3">
                      <w:rPr>
                        <w:b/>
                        <w:bCs/>
                        <w:sz w:val="20"/>
                        <w:szCs w:val="20"/>
                      </w:rPr>
                      <w:t>(202</w:t>
                    </w:r>
                    <w:r>
                      <w:rPr>
                        <w:b/>
                        <w:bCs/>
                        <w:sz w:val="20"/>
                        <w:szCs w:val="20"/>
                      </w:rPr>
                      <w:t>2</w:t>
                    </w:r>
                    <w:r w:rsidRPr="00C502E3">
                      <w:rPr>
                        <w:b/>
                        <w:bCs/>
                        <w:sz w:val="20"/>
                        <w:szCs w:val="20"/>
                      </w:rPr>
                      <w:t xml:space="preserve">); </w:t>
                    </w:r>
                    <w:r>
                      <w:rPr>
                        <w:b/>
                        <w:bCs/>
                        <w:sz w:val="20"/>
                        <w:szCs w:val="20"/>
                      </w:rPr>
                      <w:t>40</w:t>
                    </w:r>
                    <w:r w:rsidRPr="00C502E3">
                      <w:rPr>
                        <w:b/>
                        <w:bCs/>
                        <w:sz w:val="20"/>
                        <w:szCs w:val="20"/>
                      </w:rPr>
                      <w:t>(</w:t>
                    </w:r>
                    <w:r>
                      <w:rPr>
                        <w:b/>
                        <w:bCs/>
                        <w:sz w:val="20"/>
                        <w:szCs w:val="20"/>
                      </w:rPr>
                      <w:t>2</w:t>
                    </w:r>
                    <w:r w:rsidRPr="00C502E3">
                      <w:rPr>
                        <w:b/>
                        <w:bCs/>
                        <w:sz w:val="20"/>
                        <w:szCs w:val="20"/>
                      </w:rPr>
                      <w:t>):</w:t>
                    </w:r>
                    <w:r>
                      <w:rPr>
                        <w:b/>
                        <w:bCs/>
                        <w:sz w:val="20"/>
                        <w:szCs w:val="20"/>
                      </w:rPr>
                      <w:t>163-</w:t>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710"/>
    <w:multiLevelType w:val="hybridMultilevel"/>
    <w:tmpl w:val="078A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65E0E"/>
    <w:multiLevelType w:val="hybridMultilevel"/>
    <w:tmpl w:val="6156A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E5022"/>
    <w:multiLevelType w:val="hybridMultilevel"/>
    <w:tmpl w:val="E34438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43C71"/>
    <w:multiLevelType w:val="multilevel"/>
    <w:tmpl w:val="11C43C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0A41C3"/>
    <w:multiLevelType w:val="hybridMultilevel"/>
    <w:tmpl w:val="6156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C7D"/>
    <w:multiLevelType w:val="hybridMultilevel"/>
    <w:tmpl w:val="FFC4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22B78"/>
    <w:multiLevelType w:val="hybridMultilevel"/>
    <w:tmpl w:val="6156A2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B77D95"/>
    <w:multiLevelType w:val="hybridMultilevel"/>
    <w:tmpl w:val="3C063896"/>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73FD766F"/>
    <w:multiLevelType w:val="multilevel"/>
    <w:tmpl w:val="73FD7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4"/>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zNjQxNTAyMTAxtzRS0lEKTi0uzszPAykwqgUAYX7WEi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0ved2vktztdye9tw8pxfpbes5sezpfw0av&quot;&gt;My EndNote Library&lt;record-ids&gt;&lt;item&gt;60&lt;/item&gt;&lt;item&gt;61&lt;/item&gt;&lt;/record-ids&gt;&lt;/item&gt;&lt;/Libraries&gt;"/>
  </w:docVars>
  <w:rsids>
    <w:rsidRoot w:val="0055236E"/>
    <w:rsid w:val="00000067"/>
    <w:rsid w:val="00000F8B"/>
    <w:rsid w:val="0000620E"/>
    <w:rsid w:val="0000736E"/>
    <w:rsid w:val="00010181"/>
    <w:rsid w:val="0001129B"/>
    <w:rsid w:val="00011E8A"/>
    <w:rsid w:val="0001575B"/>
    <w:rsid w:val="00022447"/>
    <w:rsid w:val="0002245C"/>
    <w:rsid w:val="000229CE"/>
    <w:rsid w:val="00022E6B"/>
    <w:rsid w:val="00024B4E"/>
    <w:rsid w:val="0003284E"/>
    <w:rsid w:val="0003337D"/>
    <w:rsid w:val="000348B5"/>
    <w:rsid w:val="00034D20"/>
    <w:rsid w:val="000373BF"/>
    <w:rsid w:val="00042AA2"/>
    <w:rsid w:val="00042EFA"/>
    <w:rsid w:val="00042F6E"/>
    <w:rsid w:val="00044E56"/>
    <w:rsid w:val="00046703"/>
    <w:rsid w:val="000474F8"/>
    <w:rsid w:val="00056139"/>
    <w:rsid w:val="00060BEB"/>
    <w:rsid w:val="00063198"/>
    <w:rsid w:val="00063E92"/>
    <w:rsid w:val="00065B07"/>
    <w:rsid w:val="00066F79"/>
    <w:rsid w:val="00070288"/>
    <w:rsid w:val="000747C9"/>
    <w:rsid w:val="000749D8"/>
    <w:rsid w:val="00082BF7"/>
    <w:rsid w:val="00085000"/>
    <w:rsid w:val="00096190"/>
    <w:rsid w:val="000A3192"/>
    <w:rsid w:val="000A334A"/>
    <w:rsid w:val="000A66A9"/>
    <w:rsid w:val="000B2ACE"/>
    <w:rsid w:val="000B2C85"/>
    <w:rsid w:val="000B39B3"/>
    <w:rsid w:val="000C4695"/>
    <w:rsid w:val="000C559C"/>
    <w:rsid w:val="000D0518"/>
    <w:rsid w:val="000D297A"/>
    <w:rsid w:val="000D415F"/>
    <w:rsid w:val="000E619B"/>
    <w:rsid w:val="000F0F77"/>
    <w:rsid w:val="000F2853"/>
    <w:rsid w:val="000F3D24"/>
    <w:rsid w:val="000F46F4"/>
    <w:rsid w:val="0010204D"/>
    <w:rsid w:val="001053E2"/>
    <w:rsid w:val="00105D3A"/>
    <w:rsid w:val="00105E3D"/>
    <w:rsid w:val="001060A6"/>
    <w:rsid w:val="00106325"/>
    <w:rsid w:val="00107A0F"/>
    <w:rsid w:val="00111CAB"/>
    <w:rsid w:val="00113285"/>
    <w:rsid w:val="00116E52"/>
    <w:rsid w:val="00117793"/>
    <w:rsid w:val="00120848"/>
    <w:rsid w:val="001230A1"/>
    <w:rsid w:val="00133430"/>
    <w:rsid w:val="00133642"/>
    <w:rsid w:val="0013391C"/>
    <w:rsid w:val="0014165C"/>
    <w:rsid w:val="0014390E"/>
    <w:rsid w:val="00145E3B"/>
    <w:rsid w:val="001522FD"/>
    <w:rsid w:val="00153D19"/>
    <w:rsid w:val="001610C5"/>
    <w:rsid w:val="0016324E"/>
    <w:rsid w:val="001646AD"/>
    <w:rsid w:val="00165126"/>
    <w:rsid w:val="001702BE"/>
    <w:rsid w:val="00176B38"/>
    <w:rsid w:val="00177437"/>
    <w:rsid w:val="00180BC8"/>
    <w:rsid w:val="001923DD"/>
    <w:rsid w:val="001971C8"/>
    <w:rsid w:val="00197E33"/>
    <w:rsid w:val="001A2760"/>
    <w:rsid w:val="001A2931"/>
    <w:rsid w:val="001A505A"/>
    <w:rsid w:val="001A7139"/>
    <w:rsid w:val="001B17D7"/>
    <w:rsid w:val="001B3B8A"/>
    <w:rsid w:val="001B6A33"/>
    <w:rsid w:val="001B7F24"/>
    <w:rsid w:val="001C0344"/>
    <w:rsid w:val="001C125C"/>
    <w:rsid w:val="001C4699"/>
    <w:rsid w:val="001C6070"/>
    <w:rsid w:val="001C6815"/>
    <w:rsid w:val="001C754B"/>
    <w:rsid w:val="001D0CD8"/>
    <w:rsid w:val="001D1D79"/>
    <w:rsid w:val="001D3945"/>
    <w:rsid w:val="001D46EF"/>
    <w:rsid w:val="001D51F3"/>
    <w:rsid w:val="001E41D8"/>
    <w:rsid w:val="001E7B86"/>
    <w:rsid w:val="001F3F44"/>
    <w:rsid w:val="001F42F8"/>
    <w:rsid w:val="001F5A9F"/>
    <w:rsid w:val="00207B94"/>
    <w:rsid w:val="00210FDE"/>
    <w:rsid w:val="00214D17"/>
    <w:rsid w:val="00223E33"/>
    <w:rsid w:val="00224610"/>
    <w:rsid w:val="002306B5"/>
    <w:rsid w:val="00230FD2"/>
    <w:rsid w:val="002312F6"/>
    <w:rsid w:val="0023169B"/>
    <w:rsid w:val="00231FF7"/>
    <w:rsid w:val="002349D3"/>
    <w:rsid w:val="00234FCD"/>
    <w:rsid w:val="002351D0"/>
    <w:rsid w:val="00236D40"/>
    <w:rsid w:val="002446F7"/>
    <w:rsid w:val="002447F2"/>
    <w:rsid w:val="00244D8D"/>
    <w:rsid w:val="002460FE"/>
    <w:rsid w:val="00247D04"/>
    <w:rsid w:val="00251E6F"/>
    <w:rsid w:val="00254F92"/>
    <w:rsid w:val="0025798D"/>
    <w:rsid w:val="00260401"/>
    <w:rsid w:val="00262EB3"/>
    <w:rsid w:val="002671F0"/>
    <w:rsid w:val="00274B9A"/>
    <w:rsid w:val="00283CD7"/>
    <w:rsid w:val="00285576"/>
    <w:rsid w:val="00285C4B"/>
    <w:rsid w:val="00290242"/>
    <w:rsid w:val="00291A17"/>
    <w:rsid w:val="00291F71"/>
    <w:rsid w:val="00294042"/>
    <w:rsid w:val="00295FBA"/>
    <w:rsid w:val="00295FFC"/>
    <w:rsid w:val="002A2483"/>
    <w:rsid w:val="002A6F42"/>
    <w:rsid w:val="002B080F"/>
    <w:rsid w:val="002B5094"/>
    <w:rsid w:val="002B582A"/>
    <w:rsid w:val="002B6DFB"/>
    <w:rsid w:val="002B7AB5"/>
    <w:rsid w:val="002C25CF"/>
    <w:rsid w:val="002C2C5D"/>
    <w:rsid w:val="002C3529"/>
    <w:rsid w:val="002C4EAC"/>
    <w:rsid w:val="002C66ED"/>
    <w:rsid w:val="002F2626"/>
    <w:rsid w:val="002F2B49"/>
    <w:rsid w:val="002F4492"/>
    <w:rsid w:val="003002E1"/>
    <w:rsid w:val="003009E2"/>
    <w:rsid w:val="00300E81"/>
    <w:rsid w:val="00301881"/>
    <w:rsid w:val="003031B3"/>
    <w:rsid w:val="00303C1B"/>
    <w:rsid w:val="00305603"/>
    <w:rsid w:val="0030664F"/>
    <w:rsid w:val="00333AAF"/>
    <w:rsid w:val="00333D28"/>
    <w:rsid w:val="00340951"/>
    <w:rsid w:val="00340B87"/>
    <w:rsid w:val="00343778"/>
    <w:rsid w:val="0034579B"/>
    <w:rsid w:val="00353C08"/>
    <w:rsid w:val="00353C64"/>
    <w:rsid w:val="003547DE"/>
    <w:rsid w:val="00356AF0"/>
    <w:rsid w:val="00360E44"/>
    <w:rsid w:val="00361353"/>
    <w:rsid w:val="00362227"/>
    <w:rsid w:val="00370219"/>
    <w:rsid w:val="00370E8B"/>
    <w:rsid w:val="003710D6"/>
    <w:rsid w:val="0037530B"/>
    <w:rsid w:val="00375AD7"/>
    <w:rsid w:val="00376D3B"/>
    <w:rsid w:val="00380AE4"/>
    <w:rsid w:val="00380C09"/>
    <w:rsid w:val="003819FB"/>
    <w:rsid w:val="00390CBE"/>
    <w:rsid w:val="00393F85"/>
    <w:rsid w:val="00396251"/>
    <w:rsid w:val="003964F5"/>
    <w:rsid w:val="00396FBD"/>
    <w:rsid w:val="0039703F"/>
    <w:rsid w:val="003B21DC"/>
    <w:rsid w:val="003B55BA"/>
    <w:rsid w:val="003C42B2"/>
    <w:rsid w:val="003C42D5"/>
    <w:rsid w:val="003C5D88"/>
    <w:rsid w:val="003C7310"/>
    <w:rsid w:val="003E43A1"/>
    <w:rsid w:val="003E4669"/>
    <w:rsid w:val="003E5B91"/>
    <w:rsid w:val="003F052D"/>
    <w:rsid w:val="003F31A9"/>
    <w:rsid w:val="003F5C57"/>
    <w:rsid w:val="003F7843"/>
    <w:rsid w:val="00413F4E"/>
    <w:rsid w:val="00415A86"/>
    <w:rsid w:val="00421A86"/>
    <w:rsid w:val="00424813"/>
    <w:rsid w:val="00440B50"/>
    <w:rsid w:val="00441E9D"/>
    <w:rsid w:val="00450C3A"/>
    <w:rsid w:val="00456124"/>
    <w:rsid w:val="00463A77"/>
    <w:rsid w:val="00464A67"/>
    <w:rsid w:val="004660CB"/>
    <w:rsid w:val="004663E3"/>
    <w:rsid w:val="00467FBF"/>
    <w:rsid w:val="00474E64"/>
    <w:rsid w:val="00476570"/>
    <w:rsid w:val="00476F1C"/>
    <w:rsid w:val="00487C92"/>
    <w:rsid w:val="004914DB"/>
    <w:rsid w:val="00491EBE"/>
    <w:rsid w:val="00495053"/>
    <w:rsid w:val="0049714A"/>
    <w:rsid w:val="004B2EF2"/>
    <w:rsid w:val="004B6171"/>
    <w:rsid w:val="004B6E91"/>
    <w:rsid w:val="004C0EF0"/>
    <w:rsid w:val="004C1949"/>
    <w:rsid w:val="004D3A02"/>
    <w:rsid w:val="004D4C6F"/>
    <w:rsid w:val="004F01D2"/>
    <w:rsid w:val="004F0CD5"/>
    <w:rsid w:val="004F3B4E"/>
    <w:rsid w:val="004F4916"/>
    <w:rsid w:val="004F6D9C"/>
    <w:rsid w:val="004F7D15"/>
    <w:rsid w:val="00506246"/>
    <w:rsid w:val="0051100A"/>
    <w:rsid w:val="00515CCE"/>
    <w:rsid w:val="00517971"/>
    <w:rsid w:val="005208D3"/>
    <w:rsid w:val="00522014"/>
    <w:rsid w:val="005222E5"/>
    <w:rsid w:val="00532F27"/>
    <w:rsid w:val="00540049"/>
    <w:rsid w:val="0054456C"/>
    <w:rsid w:val="00544CA8"/>
    <w:rsid w:val="00544EEE"/>
    <w:rsid w:val="00545581"/>
    <w:rsid w:val="0055236E"/>
    <w:rsid w:val="00554A65"/>
    <w:rsid w:val="00557276"/>
    <w:rsid w:val="00557BD3"/>
    <w:rsid w:val="00561BD3"/>
    <w:rsid w:val="00566859"/>
    <w:rsid w:val="00580D25"/>
    <w:rsid w:val="005842B4"/>
    <w:rsid w:val="00592D26"/>
    <w:rsid w:val="005935E1"/>
    <w:rsid w:val="00593676"/>
    <w:rsid w:val="00594103"/>
    <w:rsid w:val="00596D42"/>
    <w:rsid w:val="005A066E"/>
    <w:rsid w:val="005A1811"/>
    <w:rsid w:val="005A5979"/>
    <w:rsid w:val="005A7607"/>
    <w:rsid w:val="005A782E"/>
    <w:rsid w:val="005B030A"/>
    <w:rsid w:val="005B061D"/>
    <w:rsid w:val="005B452B"/>
    <w:rsid w:val="005B7C2A"/>
    <w:rsid w:val="005C0E02"/>
    <w:rsid w:val="005D3A53"/>
    <w:rsid w:val="005D3FAC"/>
    <w:rsid w:val="005D6498"/>
    <w:rsid w:val="005D78A9"/>
    <w:rsid w:val="005E2041"/>
    <w:rsid w:val="005E34B1"/>
    <w:rsid w:val="005E3EEC"/>
    <w:rsid w:val="005E3FE3"/>
    <w:rsid w:val="005E4137"/>
    <w:rsid w:val="005E6436"/>
    <w:rsid w:val="005E7D3A"/>
    <w:rsid w:val="005F3B65"/>
    <w:rsid w:val="005F72DE"/>
    <w:rsid w:val="00607695"/>
    <w:rsid w:val="006101C4"/>
    <w:rsid w:val="00610C28"/>
    <w:rsid w:val="00611332"/>
    <w:rsid w:val="006240DB"/>
    <w:rsid w:val="006270E4"/>
    <w:rsid w:val="006326F6"/>
    <w:rsid w:val="0063371C"/>
    <w:rsid w:val="00634E12"/>
    <w:rsid w:val="006368C6"/>
    <w:rsid w:val="006401C3"/>
    <w:rsid w:val="006413F2"/>
    <w:rsid w:val="00642E61"/>
    <w:rsid w:val="006432A0"/>
    <w:rsid w:val="00652297"/>
    <w:rsid w:val="00654466"/>
    <w:rsid w:val="00654D26"/>
    <w:rsid w:val="00664E54"/>
    <w:rsid w:val="00667DBA"/>
    <w:rsid w:val="00670248"/>
    <w:rsid w:val="00670442"/>
    <w:rsid w:val="00674E75"/>
    <w:rsid w:val="00676387"/>
    <w:rsid w:val="00681448"/>
    <w:rsid w:val="00682538"/>
    <w:rsid w:val="0068271E"/>
    <w:rsid w:val="00682E17"/>
    <w:rsid w:val="00694856"/>
    <w:rsid w:val="006A1066"/>
    <w:rsid w:val="006A118B"/>
    <w:rsid w:val="006A480E"/>
    <w:rsid w:val="006A71F0"/>
    <w:rsid w:val="006A745F"/>
    <w:rsid w:val="006A7495"/>
    <w:rsid w:val="006B0C0E"/>
    <w:rsid w:val="006B251C"/>
    <w:rsid w:val="006B273B"/>
    <w:rsid w:val="006B6A37"/>
    <w:rsid w:val="006B7D52"/>
    <w:rsid w:val="006C334C"/>
    <w:rsid w:val="006D6E52"/>
    <w:rsid w:val="006E1C58"/>
    <w:rsid w:val="006E240F"/>
    <w:rsid w:val="006E4232"/>
    <w:rsid w:val="006E4574"/>
    <w:rsid w:val="006E4742"/>
    <w:rsid w:val="006E717B"/>
    <w:rsid w:val="006F0832"/>
    <w:rsid w:val="006F2D39"/>
    <w:rsid w:val="006F2D52"/>
    <w:rsid w:val="007031DB"/>
    <w:rsid w:val="00703287"/>
    <w:rsid w:val="00703661"/>
    <w:rsid w:val="007048E3"/>
    <w:rsid w:val="0071333B"/>
    <w:rsid w:val="00714301"/>
    <w:rsid w:val="00714F0A"/>
    <w:rsid w:val="00717E01"/>
    <w:rsid w:val="00720691"/>
    <w:rsid w:val="007211AF"/>
    <w:rsid w:val="007226F4"/>
    <w:rsid w:val="00725610"/>
    <w:rsid w:val="00731335"/>
    <w:rsid w:val="00735100"/>
    <w:rsid w:val="007351AA"/>
    <w:rsid w:val="007363F2"/>
    <w:rsid w:val="00737239"/>
    <w:rsid w:val="0074011D"/>
    <w:rsid w:val="00746499"/>
    <w:rsid w:val="00750291"/>
    <w:rsid w:val="00753D32"/>
    <w:rsid w:val="007551AB"/>
    <w:rsid w:val="00761C74"/>
    <w:rsid w:val="007638B6"/>
    <w:rsid w:val="00766ED2"/>
    <w:rsid w:val="007676C3"/>
    <w:rsid w:val="00772D89"/>
    <w:rsid w:val="00780499"/>
    <w:rsid w:val="007809F6"/>
    <w:rsid w:val="00785EF2"/>
    <w:rsid w:val="00791289"/>
    <w:rsid w:val="0079471A"/>
    <w:rsid w:val="00795417"/>
    <w:rsid w:val="007A3BB0"/>
    <w:rsid w:val="007A78E3"/>
    <w:rsid w:val="007C36B5"/>
    <w:rsid w:val="007C4A3E"/>
    <w:rsid w:val="007D1B55"/>
    <w:rsid w:val="007D5FCF"/>
    <w:rsid w:val="007D6989"/>
    <w:rsid w:val="007E03BB"/>
    <w:rsid w:val="007E2A0F"/>
    <w:rsid w:val="007E3461"/>
    <w:rsid w:val="007F3FC2"/>
    <w:rsid w:val="007F43ED"/>
    <w:rsid w:val="008028CB"/>
    <w:rsid w:val="00803072"/>
    <w:rsid w:val="00806676"/>
    <w:rsid w:val="00807567"/>
    <w:rsid w:val="00821C57"/>
    <w:rsid w:val="00825FA2"/>
    <w:rsid w:val="00833C99"/>
    <w:rsid w:val="00840C5E"/>
    <w:rsid w:val="00855478"/>
    <w:rsid w:val="008635FC"/>
    <w:rsid w:val="008653E9"/>
    <w:rsid w:val="0086545F"/>
    <w:rsid w:val="00870A70"/>
    <w:rsid w:val="00883194"/>
    <w:rsid w:val="00893187"/>
    <w:rsid w:val="00894E30"/>
    <w:rsid w:val="008A0746"/>
    <w:rsid w:val="008A29EA"/>
    <w:rsid w:val="008A3810"/>
    <w:rsid w:val="008A7719"/>
    <w:rsid w:val="008B382A"/>
    <w:rsid w:val="008B6FB3"/>
    <w:rsid w:val="008C07EC"/>
    <w:rsid w:val="008D0D2A"/>
    <w:rsid w:val="008D122C"/>
    <w:rsid w:val="008D38A1"/>
    <w:rsid w:val="008D400C"/>
    <w:rsid w:val="008E3787"/>
    <w:rsid w:val="008E56BF"/>
    <w:rsid w:val="008E64D8"/>
    <w:rsid w:val="008E7ADF"/>
    <w:rsid w:val="008F1A07"/>
    <w:rsid w:val="008F55B6"/>
    <w:rsid w:val="008F6AE9"/>
    <w:rsid w:val="009005D9"/>
    <w:rsid w:val="00901FFD"/>
    <w:rsid w:val="0090291F"/>
    <w:rsid w:val="00903752"/>
    <w:rsid w:val="00905A94"/>
    <w:rsid w:val="00910A11"/>
    <w:rsid w:val="0091441C"/>
    <w:rsid w:val="009155A2"/>
    <w:rsid w:val="00921756"/>
    <w:rsid w:val="00924EF4"/>
    <w:rsid w:val="0092626B"/>
    <w:rsid w:val="00932225"/>
    <w:rsid w:val="00940C6D"/>
    <w:rsid w:val="00947E6D"/>
    <w:rsid w:val="00960779"/>
    <w:rsid w:val="00963A09"/>
    <w:rsid w:val="00965BF6"/>
    <w:rsid w:val="00970AC2"/>
    <w:rsid w:val="00970C61"/>
    <w:rsid w:val="009717ED"/>
    <w:rsid w:val="00972443"/>
    <w:rsid w:val="0097249E"/>
    <w:rsid w:val="00975F30"/>
    <w:rsid w:val="00980920"/>
    <w:rsid w:val="00981DAB"/>
    <w:rsid w:val="00985211"/>
    <w:rsid w:val="0098689C"/>
    <w:rsid w:val="00986B51"/>
    <w:rsid w:val="00990D59"/>
    <w:rsid w:val="009927EA"/>
    <w:rsid w:val="00993785"/>
    <w:rsid w:val="009949F2"/>
    <w:rsid w:val="009B020F"/>
    <w:rsid w:val="009B3CC1"/>
    <w:rsid w:val="009B7EC9"/>
    <w:rsid w:val="009B7F41"/>
    <w:rsid w:val="009D156B"/>
    <w:rsid w:val="009D5EF8"/>
    <w:rsid w:val="009D6A47"/>
    <w:rsid w:val="009E01EB"/>
    <w:rsid w:val="009E1E58"/>
    <w:rsid w:val="009F165E"/>
    <w:rsid w:val="009F5596"/>
    <w:rsid w:val="00A0229C"/>
    <w:rsid w:val="00A060F9"/>
    <w:rsid w:val="00A119F1"/>
    <w:rsid w:val="00A126AE"/>
    <w:rsid w:val="00A132B4"/>
    <w:rsid w:val="00A153A1"/>
    <w:rsid w:val="00A16EB8"/>
    <w:rsid w:val="00A175A0"/>
    <w:rsid w:val="00A22A13"/>
    <w:rsid w:val="00A25ABB"/>
    <w:rsid w:val="00A269E7"/>
    <w:rsid w:val="00A26EA2"/>
    <w:rsid w:val="00A30A23"/>
    <w:rsid w:val="00A37CD4"/>
    <w:rsid w:val="00A41027"/>
    <w:rsid w:val="00A41EEC"/>
    <w:rsid w:val="00A42232"/>
    <w:rsid w:val="00A44641"/>
    <w:rsid w:val="00A4668E"/>
    <w:rsid w:val="00A533B5"/>
    <w:rsid w:val="00A53A81"/>
    <w:rsid w:val="00A57374"/>
    <w:rsid w:val="00A61E6B"/>
    <w:rsid w:val="00A623B1"/>
    <w:rsid w:val="00A66191"/>
    <w:rsid w:val="00A729B4"/>
    <w:rsid w:val="00A75B8D"/>
    <w:rsid w:val="00A80455"/>
    <w:rsid w:val="00A831A9"/>
    <w:rsid w:val="00A840DE"/>
    <w:rsid w:val="00A8473F"/>
    <w:rsid w:val="00A919AB"/>
    <w:rsid w:val="00A97A18"/>
    <w:rsid w:val="00AA06CD"/>
    <w:rsid w:val="00AA142F"/>
    <w:rsid w:val="00AA17FB"/>
    <w:rsid w:val="00AC3777"/>
    <w:rsid w:val="00AD2010"/>
    <w:rsid w:val="00AD42B6"/>
    <w:rsid w:val="00AD55ED"/>
    <w:rsid w:val="00AE1A9D"/>
    <w:rsid w:val="00AE2297"/>
    <w:rsid w:val="00AE2C67"/>
    <w:rsid w:val="00AE5C10"/>
    <w:rsid w:val="00AE7AED"/>
    <w:rsid w:val="00AF39D7"/>
    <w:rsid w:val="00AF5443"/>
    <w:rsid w:val="00AF5F9C"/>
    <w:rsid w:val="00B00B3F"/>
    <w:rsid w:val="00B00F99"/>
    <w:rsid w:val="00B073C6"/>
    <w:rsid w:val="00B0798C"/>
    <w:rsid w:val="00B103DC"/>
    <w:rsid w:val="00B12601"/>
    <w:rsid w:val="00B12F89"/>
    <w:rsid w:val="00B1691C"/>
    <w:rsid w:val="00B2290E"/>
    <w:rsid w:val="00B30562"/>
    <w:rsid w:val="00B31A19"/>
    <w:rsid w:val="00B3488C"/>
    <w:rsid w:val="00B41CD8"/>
    <w:rsid w:val="00B43EAF"/>
    <w:rsid w:val="00B44385"/>
    <w:rsid w:val="00B470B2"/>
    <w:rsid w:val="00B50F33"/>
    <w:rsid w:val="00B567B4"/>
    <w:rsid w:val="00B56E21"/>
    <w:rsid w:val="00B611CF"/>
    <w:rsid w:val="00B626C3"/>
    <w:rsid w:val="00B63D10"/>
    <w:rsid w:val="00B7329F"/>
    <w:rsid w:val="00B774F6"/>
    <w:rsid w:val="00B821B9"/>
    <w:rsid w:val="00B83A99"/>
    <w:rsid w:val="00B86531"/>
    <w:rsid w:val="00B8749D"/>
    <w:rsid w:val="00B952EC"/>
    <w:rsid w:val="00B95A27"/>
    <w:rsid w:val="00B95B4A"/>
    <w:rsid w:val="00BA1890"/>
    <w:rsid w:val="00BA262D"/>
    <w:rsid w:val="00BA2CE9"/>
    <w:rsid w:val="00BA459E"/>
    <w:rsid w:val="00BA5AAB"/>
    <w:rsid w:val="00BB2F21"/>
    <w:rsid w:val="00BB6F2F"/>
    <w:rsid w:val="00BB7012"/>
    <w:rsid w:val="00BC0022"/>
    <w:rsid w:val="00BC072D"/>
    <w:rsid w:val="00BC3859"/>
    <w:rsid w:val="00BD0DB4"/>
    <w:rsid w:val="00BD7457"/>
    <w:rsid w:val="00BE3D94"/>
    <w:rsid w:val="00BE6E74"/>
    <w:rsid w:val="00BF351F"/>
    <w:rsid w:val="00BF485E"/>
    <w:rsid w:val="00BF499E"/>
    <w:rsid w:val="00BF4B2D"/>
    <w:rsid w:val="00BF6D68"/>
    <w:rsid w:val="00C011E2"/>
    <w:rsid w:val="00C05667"/>
    <w:rsid w:val="00C07080"/>
    <w:rsid w:val="00C07968"/>
    <w:rsid w:val="00C10100"/>
    <w:rsid w:val="00C11882"/>
    <w:rsid w:val="00C17770"/>
    <w:rsid w:val="00C2225E"/>
    <w:rsid w:val="00C25041"/>
    <w:rsid w:val="00C25EEC"/>
    <w:rsid w:val="00C32327"/>
    <w:rsid w:val="00C4087C"/>
    <w:rsid w:val="00C41E51"/>
    <w:rsid w:val="00C42883"/>
    <w:rsid w:val="00C466D2"/>
    <w:rsid w:val="00C47C40"/>
    <w:rsid w:val="00C654B9"/>
    <w:rsid w:val="00C659CC"/>
    <w:rsid w:val="00C66CD8"/>
    <w:rsid w:val="00C725F6"/>
    <w:rsid w:val="00C73557"/>
    <w:rsid w:val="00C7377B"/>
    <w:rsid w:val="00C80D9B"/>
    <w:rsid w:val="00C82B22"/>
    <w:rsid w:val="00C86EAE"/>
    <w:rsid w:val="00C911B3"/>
    <w:rsid w:val="00C93619"/>
    <w:rsid w:val="00C95E92"/>
    <w:rsid w:val="00CA1628"/>
    <w:rsid w:val="00CA522D"/>
    <w:rsid w:val="00CB2049"/>
    <w:rsid w:val="00CB3D28"/>
    <w:rsid w:val="00CB4BCF"/>
    <w:rsid w:val="00CB54F9"/>
    <w:rsid w:val="00CC0BFF"/>
    <w:rsid w:val="00CC4628"/>
    <w:rsid w:val="00CD112A"/>
    <w:rsid w:val="00CD73E3"/>
    <w:rsid w:val="00CD7C9F"/>
    <w:rsid w:val="00CD7F80"/>
    <w:rsid w:val="00CE1E1F"/>
    <w:rsid w:val="00CE22FA"/>
    <w:rsid w:val="00CE37E0"/>
    <w:rsid w:val="00CF321D"/>
    <w:rsid w:val="00D01774"/>
    <w:rsid w:val="00D076A6"/>
    <w:rsid w:val="00D1050B"/>
    <w:rsid w:val="00D10BD7"/>
    <w:rsid w:val="00D10C68"/>
    <w:rsid w:val="00D11D3E"/>
    <w:rsid w:val="00D135E4"/>
    <w:rsid w:val="00D13E80"/>
    <w:rsid w:val="00D20B29"/>
    <w:rsid w:val="00D215EA"/>
    <w:rsid w:val="00D222E6"/>
    <w:rsid w:val="00D26742"/>
    <w:rsid w:val="00D27214"/>
    <w:rsid w:val="00D320D3"/>
    <w:rsid w:val="00D3274D"/>
    <w:rsid w:val="00D34392"/>
    <w:rsid w:val="00D4013C"/>
    <w:rsid w:val="00D44986"/>
    <w:rsid w:val="00D45840"/>
    <w:rsid w:val="00D46462"/>
    <w:rsid w:val="00D5141C"/>
    <w:rsid w:val="00D53473"/>
    <w:rsid w:val="00D60CBA"/>
    <w:rsid w:val="00D66561"/>
    <w:rsid w:val="00D7013D"/>
    <w:rsid w:val="00D711DD"/>
    <w:rsid w:val="00D72759"/>
    <w:rsid w:val="00D73BD7"/>
    <w:rsid w:val="00D76260"/>
    <w:rsid w:val="00D807A4"/>
    <w:rsid w:val="00D95C03"/>
    <w:rsid w:val="00DA0212"/>
    <w:rsid w:val="00DA09C7"/>
    <w:rsid w:val="00DA0D32"/>
    <w:rsid w:val="00DA225B"/>
    <w:rsid w:val="00DA79C6"/>
    <w:rsid w:val="00DB20F1"/>
    <w:rsid w:val="00DB4871"/>
    <w:rsid w:val="00DB4BAD"/>
    <w:rsid w:val="00DC05C6"/>
    <w:rsid w:val="00DC0BF4"/>
    <w:rsid w:val="00DC0F8B"/>
    <w:rsid w:val="00DC39DD"/>
    <w:rsid w:val="00DD1380"/>
    <w:rsid w:val="00DD2763"/>
    <w:rsid w:val="00DE0618"/>
    <w:rsid w:val="00DE4E40"/>
    <w:rsid w:val="00DE676D"/>
    <w:rsid w:val="00DF10CE"/>
    <w:rsid w:val="00DF1F7A"/>
    <w:rsid w:val="00DF6B06"/>
    <w:rsid w:val="00E002EE"/>
    <w:rsid w:val="00E01C1C"/>
    <w:rsid w:val="00E040CD"/>
    <w:rsid w:val="00E069FC"/>
    <w:rsid w:val="00E07600"/>
    <w:rsid w:val="00E14030"/>
    <w:rsid w:val="00E16067"/>
    <w:rsid w:val="00E22039"/>
    <w:rsid w:val="00E220FA"/>
    <w:rsid w:val="00E23511"/>
    <w:rsid w:val="00E23E5F"/>
    <w:rsid w:val="00E276EA"/>
    <w:rsid w:val="00E37445"/>
    <w:rsid w:val="00E42595"/>
    <w:rsid w:val="00E471E0"/>
    <w:rsid w:val="00E4727A"/>
    <w:rsid w:val="00E47927"/>
    <w:rsid w:val="00E57C34"/>
    <w:rsid w:val="00E630D7"/>
    <w:rsid w:val="00E64BFC"/>
    <w:rsid w:val="00E65A2D"/>
    <w:rsid w:val="00E70055"/>
    <w:rsid w:val="00E75D6B"/>
    <w:rsid w:val="00E817DE"/>
    <w:rsid w:val="00E9454B"/>
    <w:rsid w:val="00E9608B"/>
    <w:rsid w:val="00E97508"/>
    <w:rsid w:val="00EA1D98"/>
    <w:rsid w:val="00EA3623"/>
    <w:rsid w:val="00EA72CE"/>
    <w:rsid w:val="00EB25B1"/>
    <w:rsid w:val="00EB5804"/>
    <w:rsid w:val="00EB5BF0"/>
    <w:rsid w:val="00EC0229"/>
    <w:rsid w:val="00EC3A0D"/>
    <w:rsid w:val="00ED0044"/>
    <w:rsid w:val="00ED0A8D"/>
    <w:rsid w:val="00ED272F"/>
    <w:rsid w:val="00ED3188"/>
    <w:rsid w:val="00ED6082"/>
    <w:rsid w:val="00ED628F"/>
    <w:rsid w:val="00EE1D6D"/>
    <w:rsid w:val="00EE3DA1"/>
    <w:rsid w:val="00EE5504"/>
    <w:rsid w:val="00EF1C1F"/>
    <w:rsid w:val="00EF3AC9"/>
    <w:rsid w:val="00EF7D88"/>
    <w:rsid w:val="00F01740"/>
    <w:rsid w:val="00F01AB8"/>
    <w:rsid w:val="00F03DBE"/>
    <w:rsid w:val="00F046E3"/>
    <w:rsid w:val="00F05DBB"/>
    <w:rsid w:val="00F06CAD"/>
    <w:rsid w:val="00F119DF"/>
    <w:rsid w:val="00F13C61"/>
    <w:rsid w:val="00F2058C"/>
    <w:rsid w:val="00F21075"/>
    <w:rsid w:val="00F27E10"/>
    <w:rsid w:val="00F30233"/>
    <w:rsid w:val="00F31908"/>
    <w:rsid w:val="00F371C1"/>
    <w:rsid w:val="00F37740"/>
    <w:rsid w:val="00F37FC2"/>
    <w:rsid w:val="00F40D62"/>
    <w:rsid w:val="00F44B74"/>
    <w:rsid w:val="00F45FF6"/>
    <w:rsid w:val="00F4717F"/>
    <w:rsid w:val="00F55785"/>
    <w:rsid w:val="00F56436"/>
    <w:rsid w:val="00F60127"/>
    <w:rsid w:val="00F615B5"/>
    <w:rsid w:val="00F63955"/>
    <w:rsid w:val="00F64259"/>
    <w:rsid w:val="00F65342"/>
    <w:rsid w:val="00F659A5"/>
    <w:rsid w:val="00F66503"/>
    <w:rsid w:val="00F66A28"/>
    <w:rsid w:val="00F672C7"/>
    <w:rsid w:val="00F73254"/>
    <w:rsid w:val="00F76147"/>
    <w:rsid w:val="00F76790"/>
    <w:rsid w:val="00F774F9"/>
    <w:rsid w:val="00F809FC"/>
    <w:rsid w:val="00F86244"/>
    <w:rsid w:val="00F947D9"/>
    <w:rsid w:val="00FA14E2"/>
    <w:rsid w:val="00FA57F9"/>
    <w:rsid w:val="00FB0D3E"/>
    <w:rsid w:val="00FB15E6"/>
    <w:rsid w:val="00FB15FE"/>
    <w:rsid w:val="00FB45CA"/>
    <w:rsid w:val="00FB52B6"/>
    <w:rsid w:val="00FB53D6"/>
    <w:rsid w:val="00FB5926"/>
    <w:rsid w:val="00FC0B5D"/>
    <w:rsid w:val="00FC2D39"/>
    <w:rsid w:val="00FC3C11"/>
    <w:rsid w:val="00FD6E17"/>
    <w:rsid w:val="00FD738A"/>
    <w:rsid w:val="00FD787D"/>
    <w:rsid w:val="00FE3171"/>
    <w:rsid w:val="00FE3B9A"/>
    <w:rsid w:val="00FF08F9"/>
    <w:rsid w:val="00FF2845"/>
    <w:rsid w:val="00FF6B59"/>
    <w:rsid w:val="05D46ECF"/>
    <w:rsid w:val="106F7767"/>
    <w:rsid w:val="11AF1851"/>
    <w:rsid w:val="41923E21"/>
    <w:rsid w:val="5A3F59FE"/>
    <w:rsid w:val="6F260687"/>
    <w:rsid w:val="70003981"/>
    <w:rsid w:val="79302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D16FC3"/>
  <w15:docId w15:val="{19657367-31D8-4D07-AF0B-E141BFF7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F9"/>
    <w:pPr>
      <w:bidi/>
      <w:spacing w:after="200" w:line="276" w:lineRule="auto"/>
    </w:pPr>
    <w:rPr>
      <w:sz w:val="22"/>
      <w:szCs w:val="22"/>
    </w:rPr>
  </w:style>
  <w:style w:type="paragraph" w:styleId="Heading5">
    <w:name w:val="heading 5"/>
    <w:basedOn w:val="Normal"/>
    <w:next w:val="Normal"/>
    <w:link w:val="Heading5Char"/>
    <w:uiPriority w:val="9"/>
    <w:qFormat/>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sz w:val="22"/>
      <w:szCs w:val="22"/>
    </w:rPr>
  </w:style>
  <w:style w:type="paragraph" w:customStyle="1" w:styleId="EndNoteBibliography">
    <w:name w:val="EndNote Bibliography"/>
    <w:basedOn w:val="Normal"/>
    <w:link w:val="EndNoteBibliographyChar"/>
    <w:qFormat/>
    <w:pPr>
      <w:spacing w:line="240" w:lineRule="auto"/>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jlqj4b">
    <w:name w:val="jlqj4b"/>
    <w:basedOn w:val="DefaultParagraphFont"/>
    <w:qFormat/>
  </w:style>
  <w:style w:type="character" w:customStyle="1" w:styleId="viiyi">
    <w:name w:val="viiyi"/>
    <w:basedOn w:val="DefaultParagraphFont"/>
    <w:qFormat/>
  </w:style>
  <w:style w:type="character" w:customStyle="1" w:styleId="EndnoteTextChar">
    <w:name w:val="Endnote Text Char"/>
    <w:basedOn w:val="DefaultParagraphFont"/>
    <w:link w:val="EndnoteText"/>
    <w:uiPriority w:val="99"/>
    <w:semiHidden/>
    <w:qFormat/>
    <w:rPr>
      <w:sz w:val="20"/>
      <w:szCs w:val="20"/>
    </w:rPr>
  </w:style>
  <w:style w:type="table" w:customStyle="1" w:styleId="TableGrid1">
    <w:name w:val="Table Grid1"/>
    <w:basedOn w:val="TableNormal"/>
    <w:next w:val="TableGrid"/>
    <w:uiPriority w:val="59"/>
    <w:rsid w:val="00E4727A"/>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4727A"/>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11882"/>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C05667"/>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
    <w:name w:val="bold"/>
    <w:basedOn w:val="DefaultParagraphFont"/>
    <w:rsid w:val="0003284E"/>
  </w:style>
  <w:style w:type="character" w:styleId="UnresolvedMention">
    <w:name w:val="Unresolved Mention"/>
    <w:basedOn w:val="DefaultParagraphFont"/>
    <w:uiPriority w:val="99"/>
    <w:semiHidden/>
    <w:unhideWhenUsed/>
    <w:rsid w:val="0023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8508">
      <w:bodyDiv w:val="1"/>
      <w:marLeft w:val="0"/>
      <w:marRight w:val="0"/>
      <w:marTop w:val="0"/>
      <w:marBottom w:val="0"/>
      <w:divBdr>
        <w:top w:val="none" w:sz="0" w:space="0" w:color="auto"/>
        <w:left w:val="none" w:sz="0" w:space="0" w:color="auto"/>
        <w:bottom w:val="none" w:sz="0" w:space="0" w:color="auto"/>
        <w:right w:val="none" w:sz="0" w:space="0" w:color="auto"/>
      </w:divBdr>
    </w:div>
    <w:div w:id="649014848">
      <w:bodyDiv w:val="1"/>
      <w:marLeft w:val="0"/>
      <w:marRight w:val="0"/>
      <w:marTop w:val="0"/>
      <w:marBottom w:val="0"/>
      <w:divBdr>
        <w:top w:val="none" w:sz="0" w:space="0" w:color="auto"/>
        <w:left w:val="none" w:sz="0" w:space="0" w:color="auto"/>
        <w:bottom w:val="none" w:sz="0" w:space="0" w:color="auto"/>
        <w:right w:val="none" w:sz="0" w:space="0" w:color="auto"/>
      </w:divBdr>
    </w:div>
    <w:div w:id="1545560247">
      <w:bodyDiv w:val="1"/>
      <w:marLeft w:val="0"/>
      <w:marRight w:val="0"/>
      <w:marTop w:val="0"/>
      <w:marBottom w:val="0"/>
      <w:divBdr>
        <w:top w:val="none" w:sz="0" w:space="0" w:color="auto"/>
        <w:left w:val="none" w:sz="0" w:space="0" w:color="auto"/>
        <w:bottom w:val="none" w:sz="0" w:space="0" w:color="auto"/>
        <w:right w:val="none" w:sz="0" w:space="0" w:color="auto"/>
      </w:divBdr>
      <w:divsChild>
        <w:div w:id="171267396">
          <w:marLeft w:val="0"/>
          <w:marRight w:val="0"/>
          <w:marTop w:val="0"/>
          <w:marBottom w:val="0"/>
          <w:divBdr>
            <w:top w:val="none" w:sz="0" w:space="0" w:color="auto"/>
            <w:left w:val="none" w:sz="0" w:space="0" w:color="auto"/>
            <w:bottom w:val="none" w:sz="0" w:space="0" w:color="auto"/>
            <w:right w:val="none" w:sz="0" w:space="0" w:color="auto"/>
          </w:divBdr>
        </w:div>
      </w:divsChild>
    </w:div>
    <w:div w:id="1831484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dx.doi.org/10.33762/mjbu.2023.134409.111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33762/mjbu.2023.134409.11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Sheet1!$F$20</c:f>
              <c:strCache>
                <c:ptCount val="1"/>
                <c:pt idx="0">
                  <c:v>Male</c:v>
                </c:pt>
              </c:strCache>
            </c:strRef>
          </c:tx>
          <c:invertIfNegative val="0"/>
          <c:cat>
            <c:strRef>
              <c:f>Sheet1!$E$21:$E$23</c:f>
              <c:strCache>
                <c:ptCount val="3"/>
                <c:pt idx="0">
                  <c:v>Mean Age ( Years )</c:v>
                </c:pt>
                <c:pt idx="1">
                  <c:v>Mean BMI (Kg/m2)</c:v>
                </c:pt>
                <c:pt idx="2">
                  <c:v>Mean Duration of DM (Months)</c:v>
                </c:pt>
              </c:strCache>
            </c:strRef>
          </c:cat>
          <c:val>
            <c:numRef>
              <c:f>Sheet1!$F$21:$F$23</c:f>
              <c:numCache>
                <c:formatCode>General</c:formatCode>
                <c:ptCount val="3"/>
                <c:pt idx="0">
                  <c:v>45.94</c:v>
                </c:pt>
                <c:pt idx="1">
                  <c:v>29.79</c:v>
                </c:pt>
                <c:pt idx="2">
                  <c:v>70.95</c:v>
                </c:pt>
              </c:numCache>
            </c:numRef>
          </c:val>
          <c:extLst>
            <c:ext xmlns:c16="http://schemas.microsoft.com/office/drawing/2014/chart" uri="{C3380CC4-5D6E-409C-BE32-E72D297353CC}">
              <c16:uniqueId val="{00000000-6514-4D74-935A-4F6E11FC9BB0}"/>
            </c:ext>
          </c:extLst>
        </c:ser>
        <c:ser>
          <c:idx val="1"/>
          <c:order val="1"/>
          <c:tx>
            <c:strRef>
              <c:f>Sheet1!$G$20</c:f>
              <c:strCache>
                <c:ptCount val="1"/>
                <c:pt idx="0">
                  <c:v>Female</c:v>
                </c:pt>
              </c:strCache>
            </c:strRef>
          </c:tx>
          <c:invertIfNegative val="0"/>
          <c:cat>
            <c:strRef>
              <c:f>Sheet1!$E$21:$E$23</c:f>
              <c:strCache>
                <c:ptCount val="3"/>
                <c:pt idx="0">
                  <c:v>Mean Age ( Years )</c:v>
                </c:pt>
                <c:pt idx="1">
                  <c:v>Mean BMI (Kg/m2)</c:v>
                </c:pt>
                <c:pt idx="2">
                  <c:v>Mean Duration of DM (Months)</c:v>
                </c:pt>
              </c:strCache>
            </c:strRef>
          </c:cat>
          <c:val>
            <c:numRef>
              <c:f>Sheet1!$G$21:$G$23</c:f>
              <c:numCache>
                <c:formatCode>General</c:formatCode>
                <c:ptCount val="3"/>
                <c:pt idx="0">
                  <c:v>49.84</c:v>
                </c:pt>
                <c:pt idx="1">
                  <c:v>30.33</c:v>
                </c:pt>
                <c:pt idx="2">
                  <c:v>93.13</c:v>
                </c:pt>
              </c:numCache>
            </c:numRef>
          </c:val>
          <c:extLst>
            <c:ext xmlns:c16="http://schemas.microsoft.com/office/drawing/2014/chart" uri="{C3380CC4-5D6E-409C-BE32-E72D297353CC}">
              <c16:uniqueId val="{00000001-6514-4D74-935A-4F6E11FC9BB0}"/>
            </c:ext>
          </c:extLst>
        </c:ser>
        <c:dLbls>
          <c:showLegendKey val="0"/>
          <c:showVal val="0"/>
          <c:showCatName val="0"/>
          <c:showSerName val="0"/>
          <c:showPercent val="0"/>
          <c:showBubbleSize val="0"/>
        </c:dLbls>
        <c:gapWidth val="150"/>
        <c:axId val="89715840"/>
        <c:axId val="89717760"/>
      </c:barChart>
      <c:catAx>
        <c:axId val="897158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endParaRPr lang="en-US"/>
          </a:p>
        </c:txPr>
        <c:crossAx val="89717760"/>
        <c:crosses val="autoZero"/>
        <c:auto val="1"/>
        <c:lblAlgn val="ctr"/>
        <c:lblOffset val="100"/>
        <c:noMultiLvlLbl val="0"/>
      </c:catAx>
      <c:valAx>
        <c:axId val="89717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endParaRPr lang="en-US"/>
          </a:p>
        </c:txPr>
        <c:crossAx val="89715840"/>
        <c:crosses val="autoZero"/>
        <c:crossBetween val="between"/>
      </c:valAx>
    </c:plotArea>
    <c:legend>
      <c:legendPos val="r"/>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chart>
  <c:spPr>
    <a:ln>
      <a:solidFill>
        <a:schemeClr val="tx1"/>
      </a:solidFill>
    </a:ln>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Male</c:v>
                </c:pt>
              </c:strCache>
            </c:strRef>
          </c:tx>
          <c:invertIfNegative val="0"/>
          <c:cat>
            <c:strRef>
              <c:f>Sheet1!$A$2:$A$4</c:f>
              <c:strCache>
                <c:ptCount val="3"/>
                <c:pt idx="0">
                  <c:v>Mean Age ( Years )</c:v>
                </c:pt>
                <c:pt idx="1">
                  <c:v>Mean BMI (Kg/m2)</c:v>
                </c:pt>
                <c:pt idx="2">
                  <c:v>Mean Duration of DM (Months)</c:v>
                </c:pt>
              </c:strCache>
            </c:strRef>
          </c:cat>
          <c:val>
            <c:numRef>
              <c:f>Sheet1!$B$2:$B$4</c:f>
              <c:numCache>
                <c:formatCode>General</c:formatCode>
                <c:ptCount val="3"/>
                <c:pt idx="0">
                  <c:v>52.44</c:v>
                </c:pt>
                <c:pt idx="1">
                  <c:v>28.14</c:v>
                </c:pt>
                <c:pt idx="2">
                  <c:v>96.17</c:v>
                </c:pt>
              </c:numCache>
            </c:numRef>
          </c:val>
          <c:extLst>
            <c:ext xmlns:c16="http://schemas.microsoft.com/office/drawing/2014/chart" uri="{C3380CC4-5D6E-409C-BE32-E72D297353CC}">
              <c16:uniqueId val="{00000000-7C67-4E48-8833-7BCA60743BC1}"/>
            </c:ext>
          </c:extLst>
        </c:ser>
        <c:ser>
          <c:idx val="1"/>
          <c:order val="1"/>
          <c:tx>
            <c:strRef>
              <c:f>Sheet1!$C$1</c:f>
              <c:strCache>
                <c:ptCount val="1"/>
                <c:pt idx="0">
                  <c:v>Female</c:v>
                </c:pt>
              </c:strCache>
            </c:strRef>
          </c:tx>
          <c:invertIfNegative val="0"/>
          <c:cat>
            <c:strRef>
              <c:f>Sheet1!$A$2:$A$4</c:f>
              <c:strCache>
                <c:ptCount val="3"/>
                <c:pt idx="0">
                  <c:v>Mean Age ( Years )</c:v>
                </c:pt>
                <c:pt idx="1">
                  <c:v>Mean BMI (Kg/m2)</c:v>
                </c:pt>
                <c:pt idx="2">
                  <c:v>Mean Duration of DM (Months)</c:v>
                </c:pt>
              </c:strCache>
            </c:strRef>
          </c:cat>
          <c:val>
            <c:numRef>
              <c:f>Sheet1!$C$2:$C$4</c:f>
              <c:numCache>
                <c:formatCode>General</c:formatCode>
                <c:ptCount val="3"/>
                <c:pt idx="0">
                  <c:v>50.08</c:v>
                </c:pt>
                <c:pt idx="1">
                  <c:v>32.76</c:v>
                </c:pt>
                <c:pt idx="2">
                  <c:v>83.49</c:v>
                </c:pt>
              </c:numCache>
            </c:numRef>
          </c:val>
          <c:extLst>
            <c:ext xmlns:c16="http://schemas.microsoft.com/office/drawing/2014/chart" uri="{C3380CC4-5D6E-409C-BE32-E72D297353CC}">
              <c16:uniqueId val="{00000001-7C67-4E48-8833-7BCA60743BC1}"/>
            </c:ext>
          </c:extLst>
        </c:ser>
        <c:dLbls>
          <c:showLegendKey val="0"/>
          <c:showVal val="0"/>
          <c:showCatName val="0"/>
          <c:showSerName val="0"/>
          <c:showPercent val="0"/>
          <c:showBubbleSize val="0"/>
        </c:dLbls>
        <c:gapWidth val="150"/>
        <c:axId val="81588224"/>
        <c:axId val="81589760"/>
      </c:barChart>
      <c:catAx>
        <c:axId val="8158822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endParaRPr lang="en-US"/>
          </a:p>
        </c:txPr>
        <c:crossAx val="81589760"/>
        <c:crosses val="autoZero"/>
        <c:auto val="1"/>
        <c:lblAlgn val="ctr"/>
        <c:lblOffset val="100"/>
        <c:noMultiLvlLbl val="0"/>
      </c:catAx>
      <c:valAx>
        <c:axId val="815897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endParaRPr lang="en-US"/>
          </a:p>
        </c:txPr>
        <c:crossAx val="81588224"/>
        <c:crosses val="autoZero"/>
        <c:crossBetween val="between"/>
      </c:valAx>
    </c:plotArea>
    <c:legend>
      <c:legendPos val="r"/>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chart>
  <c:spPr>
    <a:ln>
      <a:solidFill>
        <a:schemeClr val="tx1"/>
      </a:solidFill>
    </a:ln>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Sheet1!$F$52</c:f>
              <c:strCache>
                <c:ptCount val="1"/>
                <c:pt idx="0">
                  <c:v>Male</c:v>
                </c:pt>
              </c:strCache>
            </c:strRef>
          </c:tx>
          <c:invertIfNegative val="0"/>
          <c:cat>
            <c:strRef>
              <c:f>Sheet1!$E$53:$E$60</c:f>
              <c:strCache>
                <c:ptCount val="8"/>
                <c:pt idx="0">
                  <c:v>Mean HbA1c%</c:v>
                </c:pt>
                <c:pt idx="1">
                  <c:v>Mean FBS (mg/dl)</c:v>
                </c:pt>
                <c:pt idx="2">
                  <c:v>Mean TG (mg/dl)</c:v>
                </c:pt>
                <c:pt idx="3">
                  <c:v>Mean Cholesterol (mg/dl)</c:v>
                </c:pt>
                <c:pt idx="4">
                  <c:v>Mean HDL (mg/dl)</c:v>
                </c:pt>
                <c:pt idx="5">
                  <c:v>Mean LDL (mg/dl)</c:v>
                </c:pt>
                <c:pt idx="6">
                  <c:v>Mean VLDL (mg/dl)</c:v>
                </c:pt>
                <c:pt idx="7">
                  <c:v>Mean NHDL (mg/dl)</c:v>
                </c:pt>
              </c:strCache>
            </c:strRef>
          </c:cat>
          <c:val>
            <c:numRef>
              <c:f>Sheet1!$F$53:$F$60</c:f>
              <c:numCache>
                <c:formatCode>General</c:formatCode>
                <c:ptCount val="8"/>
                <c:pt idx="0">
                  <c:v>10.61</c:v>
                </c:pt>
                <c:pt idx="1">
                  <c:v>264.52</c:v>
                </c:pt>
                <c:pt idx="2">
                  <c:v>1368.75</c:v>
                </c:pt>
                <c:pt idx="3">
                  <c:v>310.75</c:v>
                </c:pt>
                <c:pt idx="4">
                  <c:v>33.130000000000003</c:v>
                </c:pt>
                <c:pt idx="5">
                  <c:v>87.18</c:v>
                </c:pt>
                <c:pt idx="6">
                  <c:v>272.10000000000002</c:v>
                </c:pt>
                <c:pt idx="7">
                  <c:v>278.95999999999998</c:v>
                </c:pt>
              </c:numCache>
            </c:numRef>
          </c:val>
          <c:extLst>
            <c:ext xmlns:c16="http://schemas.microsoft.com/office/drawing/2014/chart" uri="{C3380CC4-5D6E-409C-BE32-E72D297353CC}">
              <c16:uniqueId val="{00000000-239B-47DD-A2DE-E97757BFC009}"/>
            </c:ext>
          </c:extLst>
        </c:ser>
        <c:ser>
          <c:idx val="1"/>
          <c:order val="1"/>
          <c:tx>
            <c:strRef>
              <c:f>Sheet1!$G$52</c:f>
              <c:strCache>
                <c:ptCount val="1"/>
                <c:pt idx="0">
                  <c:v>Female</c:v>
                </c:pt>
              </c:strCache>
            </c:strRef>
          </c:tx>
          <c:invertIfNegative val="0"/>
          <c:cat>
            <c:strRef>
              <c:f>Sheet1!$E$53:$E$60</c:f>
              <c:strCache>
                <c:ptCount val="8"/>
                <c:pt idx="0">
                  <c:v>Mean HbA1c%</c:v>
                </c:pt>
                <c:pt idx="1">
                  <c:v>Mean FBS (mg/dl)</c:v>
                </c:pt>
                <c:pt idx="2">
                  <c:v>Mean TG (mg/dl)</c:v>
                </c:pt>
                <c:pt idx="3">
                  <c:v>Mean Cholesterol (mg/dl)</c:v>
                </c:pt>
                <c:pt idx="4">
                  <c:v>Mean HDL (mg/dl)</c:v>
                </c:pt>
                <c:pt idx="5">
                  <c:v>Mean LDL (mg/dl)</c:v>
                </c:pt>
                <c:pt idx="6">
                  <c:v>Mean VLDL (mg/dl)</c:v>
                </c:pt>
                <c:pt idx="7">
                  <c:v>Mean NHDL (mg/dl)</c:v>
                </c:pt>
              </c:strCache>
            </c:strRef>
          </c:cat>
          <c:val>
            <c:numRef>
              <c:f>Sheet1!$G$53:$G$60</c:f>
              <c:numCache>
                <c:formatCode>General</c:formatCode>
                <c:ptCount val="8"/>
                <c:pt idx="0">
                  <c:v>10.43</c:v>
                </c:pt>
                <c:pt idx="1">
                  <c:v>266.31</c:v>
                </c:pt>
                <c:pt idx="2">
                  <c:v>1313.13</c:v>
                </c:pt>
                <c:pt idx="3">
                  <c:v>312.61</c:v>
                </c:pt>
                <c:pt idx="4">
                  <c:v>33.79</c:v>
                </c:pt>
                <c:pt idx="5">
                  <c:v>101.68</c:v>
                </c:pt>
                <c:pt idx="6">
                  <c:v>261.24</c:v>
                </c:pt>
                <c:pt idx="7">
                  <c:v>278.229999999999</c:v>
                </c:pt>
              </c:numCache>
            </c:numRef>
          </c:val>
          <c:extLst>
            <c:ext xmlns:c16="http://schemas.microsoft.com/office/drawing/2014/chart" uri="{C3380CC4-5D6E-409C-BE32-E72D297353CC}">
              <c16:uniqueId val="{00000001-239B-47DD-A2DE-E97757BFC009}"/>
            </c:ext>
          </c:extLst>
        </c:ser>
        <c:dLbls>
          <c:showLegendKey val="0"/>
          <c:showVal val="0"/>
          <c:showCatName val="0"/>
          <c:showSerName val="0"/>
          <c:showPercent val="0"/>
          <c:showBubbleSize val="0"/>
        </c:dLbls>
        <c:gapWidth val="150"/>
        <c:axId val="72180096"/>
        <c:axId val="72181632"/>
      </c:barChart>
      <c:catAx>
        <c:axId val="721800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endParaRPr lang="en-US"/>
          </a:p>
        </c:txPr>
        <c:crossAx val="72181632"/>
        <c:crosses val="autoZero"/>
        <c:auto val="1"/>
        <c:lblAlgn val="ctr"/>
        <c:lblOffset val="100"/>
        <c:noMultiLvlLbl val="0"/>
      </c:catAx>
      <c:valAx>
        <c:axId val="721816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700" b="1" i="0" u="none" strike="noStrike" kern="1200" baseline="0">
                <a:solidFill>
                  <a:schemeClr val="tx1"/>
                </a:solidFill>
                <a:latin typeface="+mn-lt"/>
                <a:ea typeface="+mn-ea"/>
                <a:cs typeface="+mn-cs"/>
              </a:defRPr>
            </a:pPr>
            <a:endParaRPr lang="en-US"/>
          </a:p>
        </c:txPr>
        <c:crossAx val="7218009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spPr>
    <a:ln>
      <a:solidFill>
        <a:schemeClr val="tx1"/>
      </a:solidFill>
    </a:ln>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Sheet1!$E$33</c:f>
              <c:strCache>
                <c:ptCount val="1"/>
                <c:pt idx="0">
                  <c:v>Male</c:v>
                </c:pt>
              </c:strCache>
            </c:strRef>
          </c:tx>
          <c:invertIfNegative val="0"/>
          <c:cat>
            <c:strRef>
              <c:f>Sheet1!$D$34:$D$41</c:f>
              <c:strCache>
                <c:ptCount val="8"/>
                <c:pt idx="0">
                  <c:v>Mean HbA1c%</c:v>
                </c:pt>
                <c:pt idx="1">
                  <c:v>Mean FBS (mg/dl)</c:v>
                </c:pt>
                <c:pt idx="2">
                  <c:v>Mean TG (mg/dl)</c:v>
                </c:pt>
                <c:pt idx="3">
                  <c:v>Mean Cholesterol (mg/dl)</c:v>
                </c:pt>
                <c:pt idx="4">
                  <c:v>Mean HDL (mg/dl)</c:v>
                </c:pt>
                <c:pt idx="5">
                  <c:v>Mean LDL (mg/dl)</c:v>
                </c:pt>
                <c:pt idx="6">
                  <c:v>Mean VLDL (mg/dl)</c:v>
                </c:pt>
                <c:pt idx="7">
                  <c:v>Mean NHDL (mg/dl)</c:v>
                </c:pt>
              </c:strCache>
            </c:strRef>
          </c:cat>
          <c:val>
            <c:numRef>
              <c:f>Sheet1!$E$34:$E$41</c:f>
              <c:numCache>
                <c:formatCode>General</c:formatCode>
                <c:ptCount val="8"/>
                <c:pt idx="0">
                  <c:v>8.9499999999999993</c:v>
                </c:pt>
                <c:pt idx="1">
                  <c:v>172.84</c:v>
                </c:pt>
                <c:pt idx="2">
                  <c:v>101.12</c:v>
                </c:pt>
                <c:pt idx="3">
                  <c:v>151.94</c:v>
                </c:pt>
                <c:pt idx="4">
                  <c:v>39.880000000000003</c:v>
                </c:pt>
                <c:pt idx="5">
                  <c:v>98.3</c:v>
                </c:pt>
                <c:pt idx="6">
                  <c:v>20.22</c:v>
                </c:pt>
                <c:pt idx="7">
                  <c:v>112.05</c:v>
                </c:pt>
              </c:numCache>
            </c:numRef>
          </c:val>
          <c:extLst>
            <c:ext xmlns:c16="http://schemas.microsoft.com/office/drawing/2014/chart" uri="{C3380CC4-5D6E-409C-BE32-E72D297353CC}">
              <c16:uniqueId val="{00000000-726F-406A-A2B2-11AFC71E4810}"/>
            </c:ext>
          </c:extLst>
        </c:ser>
        <c:ser>
          <c:idx val="1"/>
          <c:order val="1"/>
          <c:tx>
            <c:strRef>
              <c:f>Sheet1!$F$33</c:f>
              <c:strCache>
                <c:ptCount val="1"/>
                <c:pt idx="0">
                  <c:v>Female</c:v>
                </c:pt>
              </c:strCache>
            </c:strRef>
          </c:tx>
          <c:invertIfNegative val="0"/>
          <c:cat>
            <c:strRef>
              <c:f>Sheet1!$D$34:$D$41</c:f>
              <c:strCache>
                <c:ptCount val="8"/>
                <c:pt idx="0">
                  <c:v>Mean HbA1c%</c:v>
                </c:pt>
                <c:pt idx="1">
                  <c:v>Mean FBS (mg/dl)</c:v>
                </c:pt>
                <c:pt idx="2">
                  <c:v>Mean TG (mg/dl)</c:v>
                </c:pt>
                <c:pt idx="3">
                  <c:v>Mean Cholesterol (mg/dl)</c:v>
                </c:pt>
                <c:pt idx="4">
                  <c:v>Mean HDL (mg/dl)</c:v>
                </c:pt>
                <c:pt idx="5">
                  <c:v>Mean LDL (mg/dl)</c:v>
                </c:pt>
                <c:pt idx="6">
                  <c:v>Mean VLDL (mg/dl)</c:v>
                </c:pt>
                <c:pt idx="7">
                  <c:v>Mean NHDL (mg/dl)</c:v>
                </c:pt>
              </c:strCache>
            </c:strRef>
          </c:cat>
          <c:val>
            <c:numRef>
              <c:f>Sheet1!$F$34:$F$41</c:f>
              <c:numCache>
                <c:formatCode>General</c:formatCode>
                <c:ptCount val="8"/>
                <c:pt idx="0">
                  <c:v>8.9499999999999993</c:v>
                </c:pt>
                <c:pt idx="1">
                  <c:v>172.84</c:v>
                </c:pt>
                <c:pt idx="2">
                  <c:v>101.12</c:v>
                </c:pt>
                <c:pt idx="3">
                  <c:v>151.94</c:v>
                </c:pt>
                <c:pt idx="4">
                  <c:v>39.880000000000003</c:v>
                </c:pt>
                <c:pt idx="5">
                  <c:v>98.3</c:v>
                </c:pt>
                <c:pt idx="6">
                  <c:v>20.22</c:v>
                </c:pt>
                <c:pt idx="7">
                  <c:v>112.05</c:v>
                </c:pt>
              </c:numCache>
            </c:numRef>
          </c:val>
          <c:extLst>
            <c:ext xmlns:c16="http://schemas.microsoft.com/office/drawing/2014/chart" uri="{C3380CC4-5D6E-409C-BE32-E72D297353CC}">
              <c16:uniqueId val="{00000001-726F-406A-A2B2-11AFC71E4810}"/>
            </c:ext>
          </c:extLst>
        </c:ser>
        <c:dLbls>
          <c:showLegendKey val="0"/>
          <c:showVal val="0"/>
          <c:showCatName val="0"/>
          <c:showSerName val="0"/>
          <c:showPercent val="0"/>
          <c:showBubbleSize val="0"/>
        </c:dLbls>
        <c:gapWidth val="150"/>
        <c:axId val="93878144"/>
        <c:axId val="93879680"/>
      </c:barChart>
      <c:catAx>
        <c:axId val="938781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600" b="0" i="0" u="none" strike="noStrike" kern="1200" baseline="0">
                <a:solidFill>
                  <a:schemeClr val="tx1"/>
                </a:solidFill>
                <a:latin typeface="+mn-lt"/>
                <a:ea typeface="+mn-ea"/>
                <a:cs typeface="+mn-cs"/>
              </a:defRPr>
            </a:pPr>
            <a:endParaRPr lang="en-US"/>
          </a:p>
        </c:txPr>
        <c:crossAx val="93879680"/>
        <c:crosses val="autoZero"/>
        <c:auto val="1"/>
        <c:lblAlgn val="ctr"/>
        <c:lblOffset val="100"/>
        <c:noMultiLvlLbl val="0"/>
      </c:catAx>
      <c:valAx>
        <c:axId val="93879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en-US"/>
          </a:p>
        </c:txPr>
        <c:crossAx val="9387814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spPr>
    <a:ln>
      <a:solidFill>
        <a:schemeClr val="tx1"/>
      </a:solidFill>
    </a:ln>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4A6ED2B1-31C2-4620-9EEF-6BDA9906F9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3169</Words>
  <Characters>18068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Lilo</dc:creator>
  <cp:lastModifiedBy>AL-NABAA</cp:lastModifiedBy>
  <cp:revision>32</cp:revision>
  <cp:lastPrinted>2023-06-03T08:41:00Z</cp:lastPrinted>
  <dcterms:created xsi:type="dcterms:W3CDTF">2023-06-23T09:59:00Z</dcterms:created>
  <dcterms:modified xsi:type="dcterms:W3CDTF">2023-07-03T18:36:00Z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8D7CE3602A9D421DB40D601622508607</vt:lpwstr>
  </property>
</Properties>
</file>